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黑体" w:hAnsi="黑体" w:eastAsia="黑体"/>
          <w:b/>
          <w:color w:val="0B3A5C"/>
          <w:sz w:val="44"/>
        </w:rPr>
        <w:t>印尼「镍矿 → 新能源电池」产业链：从资源出口到价值链攀升（含可持续发展视角）</w:t>
      </w:r>
    </w:p>
    <w:p>
      <w:pPr>
        <w:jc w:val="center"/>
      </w:pPr>
      <w:r>
        <w:rPr>
          <w:rFonts w:ascii="Times New Roman" w:hAnsi="Times New Roman" w:eastAsia="宋体"/>
          <w:color w:val="4B5563"/>
          <w:sz w:val="21"/>
        </w:rPr>
        <w:t>corpusdi 区域国别数据开放平台 · 国别研究（东南亚）· 产业投资 / 可持续发展领域分析</w:t>
      </w:r>
    </w:p>
    <w:p>
      <w:pPr>
        <w:jc w:val="center"/>
      </w:pPr>
      <w:r>
        <w:rPr>
          <w:rFonts w:ascii="Times New Roman" w:hAnsi="Times New Roman" w:eastAsia="宋体"/>
          <w:color w:val="4B5563"/>
          <w:sz w:val="21"/>
        </w:rPr>
        <w:t>数据来源：印尼能源与矿产资源部（ESDM）、印尼镍矿协会（APNI）、印尼电池公司（IBC）、宁德时代（CATL）、现代-LG（HLI Green Power）、IMIP / IWIP 园区方、CREA、IUCN-NL MOSAIX 报告、IEEFA、ESDM HPM 月度公告及对象国本地媒体公开报道</w:t>
      </w:r>
    </w:p>
    <w:p>
      <w:pPr>
        <w:pBdr>
          <w:bottom w:val="single" w:sz="8" w:space="1" w:color="0b3a5c"/>
        </w:pBdr>
      </w:pPr>
    </w:p>
    <w:p>
      <w:pPr>
        <w:spacing w:before="360" w:after="120"/>
      </w:pPr>
      <w:r>
        <w:rPr>
          <w:rFonts w:ascii="黑体" w:hAnsi="黑体" w:eastAsia="黑体"/>
          <w:b/>
          <w:color w:val="0B3A5C"/>
          <w:sz w:val="30"/>
        </w:rPr>
        <w:t>摘要</w:t>
      </w:r>
    </w:p>
    <w:p>
      <w:pPr>
        <w:spacing w:after="120" w:line="360" w:lineRule="auto"/>
        <w:jc w:val="both"/>
      </w:pPr>
      <w:r>
        <w:rPr>
          <w:rFonts w:ascii="Times New Roman" w:hAnsi="Times New Roman" w:eastAsia="宋体"/>
          <w:b w:val="0"/>
          <w:color w:val="1F2937"/>
          <w:sz w:val="22"/>
        </w:rPr>
        <w:t>2020 年 1 月，印尼全面禁止红土镍矿原矿出口，配套 2014 年起逐步成型的“下游化”（hilirisasi）产业政策，五年后已经形成了一个以中资与韩资为主导、横跨采矿 — 冶炼 — 中间品 — 正极材料 — 电池电芯 — 整车整备工级 EV 产业链。本文以 ESDM、USGS、宁德时代、IBC、HLI Green Power、青山 IMIP、振石 IWIP、CREA、IUCN-MOSAIX 等多源公开数据交叉验证，回答四个问题：印尼镍产业重构的真实高度在哪里？它带来了哪些可持续发展代价？印尼本土的回应工具走到了哪一步？对企业（特别是中资）意味着什么。</w:t>
      </w:r>
    </w:p>
    <w:p>
      <w:pPr>
        <w:spacing w:after="120" w:line="360" w:lineRule="auto"/>
        <w:jc w:val="both"/>
      </w:pPr>
      <w:r>
        <w:rPr>
          <w:rFonts w:ascii="Times New Roman" w:hAnsi="Times New Roman" w:eastAsia="宋体"/>
          <w:b w:val="0"/>
          <w:color w:val="1F2937"/>
          <w:sz w:val="22"/>
        </w:rPr>
        <w:t>核心发现：其一，印尼占全球镍矿储量 42.3%（USGS 2024）、占全球矿产产量约 59.5%（USGS 2024）与全球原生镍产量近 50%（CRU 2025），冶炼厂从 2014 年 2 座增至 2024 年 44 座运营 + 26 座在建（ESDM 2024）；其二，产业链“攀”的关键节点是 HPAL 中间品与电芯：宁德时代与 IBC、ANTAM 合资的“龙项目”总投资 59 亿美元，初期 6.9 GWh、规划远期 15 GWh，是东南亚最大单体电池项目；其三，可持续发展代价是结构性的——CREA 2025 报告披露镍冶炼厂自备燃煤已装 31 GW（伊谷 MW），2 年内翻倍，年均净增 4.5 GW；IUCN-MOSAIX 报告显示 Morowali 县 77% 的镍矿开采区与原始热带雨林重叠，已损毁森林 75,000 公顷以上、采矿导致的土壤径流是该地最严重却可预防的环境影响；其四，印尼的本土回应已经从“是否禁止”走到“怎么治理”阶段——JETP 公正能源转型伙伴计划（2022 年 G7 启动）落地为 2030 年可再生能源 50%+ 目标、印尼可持续金融分类法（TKBI v2）于 2024 年生效、Danantara 主权基金于 2024 年成立协调下游化与 ESG、欧盟 — 印尼 CEPA 于 2025 年 7 月 13 日签署。本文采用“占比—轨迹—KPI—可持续—结论”五层结构，与本平台沙特文、孟加拉文方法论一致。</w:t>
      </w:r>
    </w:p>
    <w:p>
      <w:pPr>
        <w:spacing w:before="360" w:after="120"/>
      </w:pPr>
      <w:r>
        <w:rPr>
          <w:rFonts w:ascii="黑体" w:hAnsi="黑体" w:eastAsia="黑体"/>
          <w:b/>
          <w:color w:val="0B3A5C"/>
          <w:sz w:val="30"/>
        </w:rPr>
        <w:t>一、口径先行：储量与品位的两条时间线</w:t>
      </w:r>
    </w:p>
    <w:p>
      <w:pPr>
        <w:spacing w:after="120" w:line="360" w:lineRule="auto"/>
        <w:jc w:val="both"/>
      </w:pPr>
      <w:r>
        <w:rPr>
          <w:rFonts w:ascii="Times New Roman" w:hAnsi="Times New Roman" w:eastAsia="宋体"/>
          <w:b w:val="0"/>
          <w:color w:val="1F2937"/>
          <w:sz w:val="22"/>
        </w:rPr>
        <w:t>与沙特文章同源问题：评价印尼镍产业的成绩单前，必须先还原“镍”这个词在不同口径下的真实含义。同一批矿可被报告为“矿石吨”“湿公吨”“金属吨”“电池级硫酸镍当量”，而储量数字之间还隐藏“可回收”“JORC 合规”“探明 + 控制 + 推断”三重分层。混用即误读。</w:t>
      </w:r>
    </w:p>
    <w:p>
      <w:pPr>
        <w:spacing w:before="200" w:after="80"/>
      </w:pPr>
      <w:r>
        <w:rPr>
          <w:rFonts w:ascii="黑体" w:hAnsi="黑体" w:eastAsia="黑体"/>
          <w:b/>
          <w:color w:val="0E7C8A"/>
          <w:sz w:val="25"/>
        </w:rPr>
        <w:t>表 1：印尼镍资源的 4 种口径（2024–2025）</w:t>
      </w:r>
    </w:p>
    <w:tbl>
      <w:tblPr>
        <w:tblStyle w:val="LightGrid-Accent1"/>
        <w:tblW w:type="auto" w:w="0"/>
        <w:tblLook w:firstColumn="1" w:firstRow="1" w:lastColumn="0" w:lastRow="0" w:noHBand="0" w:noVBand="1" w:val="04A0"/>
      </w:tblPr>
      <w:tblGrid>
        <w:gridCol w:w="2351"/>
        <w:gridCol w:w="2351"/>
        <w:gridCol w:w="2351"/>
        <w:gridCol w:w="2351"/>
      </w:tblGrid>
      <w:tr>
        <w:tc>
          <w:tcPr>
            <w:tcW w:type="dxa" w:w="2351"/>
          </w:tcPr>
          <w:p>
            <w:pPr>
              <w:jc w:val="center"/>
            </w:pPr>
            <w:r/>
            <w:r>
              <w:rPr>
                <w:b/>
                <w:color w:val="0B3A5C"/>
                <w:sz w:val="20"/>
                <w:rFonts w:eastAsia="黑体" w:ascii="Times New Roman" w:hAnsi="Times New Roman"/>
              </w:rPr>
              <w:t>口径</w:t>
            </w:r>
          </w:p>
        </w:tc>
        <w:tc>
          <w:tcPr>
            <w:tcW w:type="dxa" w:w="2351"/>
          </w:tcPr>
          <w:p>
            <w:pPr>
              <w:jc w:val="center"/>
            </w:pPr>
            <w:r/>
            <w:r>
              <w:rPr>
                <w:b/>
                <w:color w:val="0B3A5C"/>
                <w:sz w:val="20"/>
                <w:rFonts w:eastAsia="黑体" w:ascii="Times New Roman" w:hAnsi="Times New Roman"/>
              </w:rPr>
              <w:t>数值</w:t>
            </w:r>
          </w:p>
        </w:tc>
        <w:tc>
          <w:tcPr>
            <w:tcW w:type="dxa" w:w="2351"/>
          </w:tcPr>
          <w:p>
            <w:pPr>
              <w:jc w:val="center"/>
            </w:pPr>
            <w:r/>
            <w:r>
              <w:rPr>
                <w:b/>
                <w:color w:val="0B3A5C"/>
                <w:sz w:val="20"/>
                <w:rFonts w:eastAsia="黑体" w:ascii="Times New Roman" w:hAnsi="Times New Roman"/>
              </w:rPr>
              <w:t>单位</w:t>
            </w:r>
          </w:p>
        </w:tc>
        <w:tc>
          <w:tcPr>
            <w:tcW w:type="dxa" w:w="2351"/>
          </w:tcPr>
          <w:p>
            <w:pPr>
              <w:jc w:val="center"/>
            </w:pPr>
            <w:r/>
            <w:r>
              <w:rPr>
                <w:b/>
                <w:color w:val="0B3A5C"/>
                <w:sz w:val="20"/>
                <w:rFonts w:eastAsia="黑体" w:ascii="Times New Roman" w:hAnsi="Times New Roman"/>
              </w:rPr>
              <w:t>出处</w:t>
            </w:r>
          </w:p>
        </w:tc>
      </w:tr>
      <w:tr>
        <w:tc>
          <w:tcPr>
            <w:tcW w:type="dxa" w:w="2351"/>
          </w:tcPr>
          <w:p>
            <w:pPr>
              <w:jc w:val="center"/>
            </w:pPr>
            <w:r/>
            <w:r>
              <w:rPr>
                <w:b w:val="0"/>
                <w:color w:val="1F2937"/>
                <w:sz w:val="19"/>
                <w:rFonts w:eastAsia="宋体" w:ascii="Times New Roman" w:hAnsi="Times New Roman"/>
              </w:rPr>
              <w:t>全球储量占比</w:t>
            </w:r>
          </w:p>
        </w:tc>
        <w:tc>
          <w:tcPr>
            <w:tcW w:type="dxa" w:w="2351"/>
          </w:tcPr>
          <w:p>
            <w:pPr>
              <w:jc w:val="center"/>
            </w:pPr>
            <w:r/>
            <w:r>
              <w:rPr>
                <w:b w:val="0"/>
                <w:color w:val="1F2937"/>
                <w:sz w:val="19"/>
                <w:rFonts w:eastAsia="宋体" w:ascii="Times New Roman" w:hAnsi="Times New Roman"/>
              </w:rPr>
              <w:t>42.3%</w:t>
            </w:r>
          </w:p>
        </w:tc>
        <w:tc>
          <w:tcPr>
            <w:tcW w:type="dxa" w:w="2351"/>
          </w:tcPr>
          <w:p>
            <w:pPr>
              <w:jc w:val="center"/>
            </w:pPr>
            <w:r/>
            <w:r>
              <w:rPr>
                <w:b w:val="0"/>
                <w:color w:val="1F2937"/>
                <w:sz w:val="19"/>
                <w:rFonts w:eastAsia="宋体" w:ascii="Times New Roman" w:hAnsi="Times New Roman"/>
              </w:rPr>
              <w:t>55 亿金属吨</w:t>
            </w:r>
          </w:p>
        </w:tc>
        <w:tc>
          <w:tcPr>
            <w:tcW w:type="dxa" w:w="2351"/>
          </w:tcPr>
          <w:p>
            <w:pPr>
              <w:jc w:val="center"/>
            </w:pPr>
            <w:r/>
            <w:r>
              <w:rPr>
                <w:b w:val="0"/>
                <w:color w:val="1F2937"/>
                <w:sz w:val="19"/>
                <w:rFonts w:eastAsia="宋体" w:ascii="Times New Roman" w:hAnsi="Times New Roman"/>
              </w:rPr>
              <w:t>USGS 2024</w:t>
            </w:r>
          </w:p>
        </w:tc>
      </w:tr>
      <w:tr>
        <w:tc>
          <w:tcPr>
            <w:tcW w:type="dxa" w:w="2351"/>
          </w:tcPr>
          <w:p>
            <w:pPr>
              <w:jc w:val="center"/>
            </w:pPr>
            <w:r/>
            <w:r>
              <w:rPr>
                <w:b w:val="0"/>
                <w:color w:val="1F2937"/>
                <w:sz w:val="19"/>
                <w:rFonts w:eastAsia="宋体" w:ascii="Times New Roman" w:hAnsi="Times New Roman"/>
              </w:rPr>
              <w:t>全球矿产量占比</w:t>
            </w:r>
          </w:p>
        </w:tc>
        <w:tc>
          <w:tcPr>
            <w:tcW w:type="dxa" w:w="2351"/>
          </w:tcPr>
          <w:p>
            <w:pPr>
              <w:jc w:val="center"/>
            </w:pPr>
            <w:r/>
            <w:r>
              <w:rPr>
                <w:b w:val="0"/>
                <w:color w:val="1F2937"/>
                <w:sz w:val="19"/>
                <w:rFonts w:eastAsia="宋体" w:ascii="Times New Roman" w:hAnsi="Times New Roman"/>
              </w:rPr>
              <w:t>59.5%</w:t>
            </w:r>
          </w:p>
        </w:tc>
        <w:tc>
          <w:tcPr>
            <w:tcW w:type="dxa" w:w="2351"/>
          </w:tcPr>
          <w:p>
            <w:pPr>
              <w:jc w:val="center"/>
            </w:pPr>
            <w:r/>
            <w:r>
              <w:rPr>
                <w:b w:val="0"/>
                <w:color w:val="1F2937"/>
                <w:sz w:val="19"/>
                <w:rFonts w:eastAsia="宋体" w:ascii="Times New Roman" w:hAnsi="Times New Roman"/>
              </w:rPr>
              <w:t>2.2 亿万金属吨</w:t>
            </w:r>
          </w:p>
        </w:tc>
        <w:tc>
          <w:tcPr>
            <w:tcW w:type="dxa" w:w="2351"/>
          </w:tcPr>
          <w:p>
            <w:pPr>
              <w:jc w:val="center"/>
            </w:pPr>
            <w:r/>
            <w:r>
              <w:rPr>
                <w:b w:val="0"/>
                <w:color w:val="1F2937"/>
                <w:sz w:val="19"/>
                <w:rFonts w:eastAsia="宋体" w:ascii="Times New Roman" w:hAnsi="Times New Roman"/>
              </w:rPr>
              <w:t>USGS 2024</w:t>
            </w:r>
          </w:p>
        </w:tc>
      </w:tr>
      <w:tr>
        <w:tc>
          <w:tcPr>
            <w:tcW w:type="dxa" w:w="2351"/>
          </w:tcPr>
          <w:p>
            <w:pPr>
              <w:jc w:val="center"/>
            </w:pPr>
            <w:r/>
            <w:r>
              <w:rPr>
                <w:b w:val="0"/>
                <w:color w:val="1F2937"/>
                <w:sz w:val="19"/>
                <w:rFonts w:eastAsia="宋体" w:ascii="Times New Roman" w:hAnsi="Times New Roman"/>
              </w:rPr>
              <w:t>全球原生镍产量占比</w:t>
            </w:r>
          </w:p>
        </w:tc>
        <w:tc>
          <w:tcPr>
            <w:tcW w:type="dxa" w:w="2351"/>
          </w:tcPr>
          <w:p>
            <w:pPr>
              <w:jc w:val="center"/>
            </w:pPr>
            <w:r/>
            <w:r>
              <w:rPr>
                <w:b w:val="0"/>
                <w:color w:val="1F2937"/>
                <w:sz w:val="19"/>
                <w:rFonts w:eastAsia="宋体" w:ascii="Times New Roman" w:hAnsi="Times New Roman"/>
              </w:rPr>
              <w:t>约 49%</w:t>
            </w:r>
          </w:p>
        </w:tc>
        <w:tc>
          <w:tcPr>
            <w:tcW w:type="dxa" w:w="2351"/>
          </w:tcPr>
          <w:p>
            <w:pPr>
              <w:jc w:val="center"/>
            </w:pPr>
            <w:r/>
            <w:r>
              <w:rPr>
                <w:b w:val="0"/>
                <w:color w:val="1F2937"/>
                <w:sz w:val="19"/>
                <w:rFonts w:eastAsia="宋体" w:ascii="Times New Roman" w:hAnsi="Times New Roman"/>
              </w:rPr>
              <w:t>矿与精炼合计</w:t>
            </w:r>
          </w:p>
        </w:tc>
        <w:tc>
          <w:tcPr>
            <w:tcW w:type="dxa" w:w="2351"/>
          </w:tcPr>
          <w:p>
            <w:pPr>
              <w:jc w:val="center"/>
            </w:pPr>
            <w:r/>
            <w:r>
              <w:rPr>
                <w:b w:val="0"/>
                <w:color w:val="1F2937"/>
                <w:sz w:val="19"/>
                <w:rFonts w:eastAsia="宋体" w:ascii="Times New Roman" w:hAnsi="Times New Roman"/>
              </w:rPr>
              <w:t>CRU Group 2025</w:t>
            </w:r>
          </w:p>
        </w:tc>
      </w:tr>
      <w:tr>
        <w:tc>
          <w:tcPr>
            <w:tcW w:type="dxa" w:w="2351"/>
          </w:tcPr>
          <w:p>
            <w:pPr>
              <w:jc w:val="center"/>
            </w:pPr>
            <w:r/>
            <w:r>
              <w:rPr>
                <w:b w:val="0"/>
                <w:color w:val="1F2937"/>
                <w:sz w:val="19"/>
                <w:rFonts w:eastAsia="宋体" w:ascii="Times New Roman" w:hAnsi="Times New Roman"/>
              </w:rPr>
              <w:t>印尼金属总储量（矿证覆盖）</w:t>
            </w:r>
          </w:p>
        </w:tc>
        <w:tc>
          <w:tcPr>
            <w:tcW w:type="dxa" w:w="2351"/>
          </w:tcPr>
          <w:p>
            <w:pPr>
              <w:jc w:val="center"/>
            </w:pPr>
            <w:r/>
            <w:r>
              <w:rPr>
                <w:b w:val="0"/>
                <w:color w:val="1F2937"/>
                <w:sz w:val="19"/>
                <w:rFonts w:eastAsia="宋体" w:ascii="Times New Roman" w:hAnsi="Times New Roman"/>
              </w:rPr>
              <w:t>62.02 亿万金属吨</w:t>
            </w:r>
          </w:p>
        </w:tc>
        <w:tc>
          <w:tcPr>
            <w:tcW w:type="dxa" w:w="2351"/>
          </w:tcPr>
          <w:p>
            <w:pPr>
              <w:jc w:val="center"/>
            </w:pPr>
            <w:r/>
            <w:r>
              <w:rPr>
                <w:b w:val="0"/>
                <w:color w:val="1F2937"/>
                <w:sz w:val="19"/>
                <w:rFonts w:eastAsia="宋体" w:ascii="Times New Roman" w:hAnsi="Times New Roman"/>
              </w:rPr>
              <w:t>247 个验证点</w:t>
            </w:r>
          </w:p>
        </w:tc>
        <w:tc>
          <w:tcPr>
            <w:tcW w:type="dxa" w:w="2351"/>
          </w:tcPr>
          <w:p>
            <w:pPr>
              <w:jc w:val="center"/>
            </w:pPr>
            <w:r/>
            <w:r>
              <w:rPr>
                <w:b w:val="0"/>
                <w:color w:val="1F2937"/>
                <w:sz w:val="19"/>
                <w:rFonts w:eastAsia="宋体" w:ascii="Times New Roman" w:hAnsi="Times New Roman"/>
              </w:rPr>
              <w:t>ESDM 2024</w:t>
            </w:r>
          </w:p>
        </w:tc>
      </w:tr>
      <w:tr>
        <w:tc>
          <w:tcPr>
            <w:tcW w:type="dxa" w:w="2351"/>
          </w:tcPr>
          <w:p>
            <w:pPr>
              <w:jc w:val="center"/>
            </w:pPr>
            <w:r/>
            <w:r>
              <w:rPr>
                <w:b w:val="0"/>
                <w:color w:val="1F2937"/>
                <w:sz w:val="19"/>
                <w:rFonts w:eastAsia="宋体" w:ascii="Times New Roman" w:hAnsi="Times New Roman"/>
              </w:rPr>
              <w:t>印尼湿矿总资源量</w:t>
            </w:r>
          </w:p>
        </w:tc>
        <w:tc>
          <w:tcPr>
            <w:tcW w:type="dxa" w:w="2351"/>
          </w:tcPr>
          <w:p>
            <w:pPr>
              <w:jc w:val="center"/>
            </w:pPr>
            <w:r/>
            <w:r>
              <w:rPr>
                <w:b w:val="0"/>
                <w:color w:val="1F2937"/>
                <w:sz w:val="19"/>
                <w:rFonts w:eastAsia="宋体" w:ascii="Times New Roman" w:hAnsi="Times New Roman"/>
              </w:rPr>
              <w:t>390 亿吨</w:t>
            </w:r>
          </w:p>
        </w:tc>
        <w:tc>
          <w:tcPr>
            <w:tcW w:type="dxa" w:w="2351"/>
          </w:tcPr>
          <w:p>
            <w:pPr>
              <w:jc w:val="center"/>
            </w:pPr>
            <w:r/>
            <w:r>
              <w:rPr>
                <w:b w:val="0"/>
                <w:color w:val="1F2937"/>
                <w:sz w:val="19"/>
                <w:rFonts w:eastAsia="宋体" w:ascii="Times New Roman" w:hAnsi="Times New Roman"/>
              </w:rPr>
              <w:t>实测 + 推断</w:t>
            </w:r>
          </w:p>
        </w:tc>
        <w:tc>
          <w:tcPr>
            <w:tcW w:type="dxa" w:w="2351"/>
          </w:tcPr>
          <w:p>
            <w:pPr>
              <w:jc w:val="center"/>
            </w:pPr>
            <w:r/>
            <w:r>
              <w:rPr>
                <w:b w:val="0"/>
                <w:color w:val="1F2937"/>
                <w:sz w:val="19"/>
                <w:rFonts w:eastAsia="宋体" w:ascii="Times New Roman" w:hAnsi="Times New Roman"/>
              </w:rPr>
              <w:t>ESDM 2024</w:t>
            </w:r>
          </w:p>
        </w:tc>
      </w:tr>
      <w:tr>
        <w:tc>
          <w:tcPr>
            <w:tcW w:type="dxa" w:w="2351"/>
          </w:tcPr>
          <w:p>
            <w:pPr>
              <w:jc w:val="center"/>
            </w:pPr>
            <w:r/>
            <w:r>
              <w:rPr>
                <w:b w:val="0"/>
                <w:color w:val="1F2937"/>
                <w:sz w:val="19"/>
                <w:rFonts w:eastAsia="宋体" w:ascii="Times New Roman" w:hAnsi="Times New Roman"/>
              </w:rPr>
              <w:t>高品位 Ni&gt;1.7%（火法主用）</w:t>
            </w:r>
          </w:p>
        </w:tc>
        <w:tc>
          <w:tcPr>
            <w:tcW w:type="dxa" w:w="2351"/>
          </w:tcPr>
          <w:p>
            <w:pPr>
              <w:jc w:val="center"/>
            </w:pPr>
            <w:r/>
            <w:r>
              <w:rPr>
                <w:b w:val="0"/>
                <w:color w:val="1F2937"/>
                <w:sz w:val="19"/>
                <w:rFonts w:eastAsia="宋体" w:ascii="Times New Roman" w:hAnsi="Times New Roman"/>
              </w:rPr>
              <w:t>17.6 亿吨</w:t>
            </w:r>
          </w:p>
        </w:tc>
        <w:tc>
          <w:tcPr>
            <w:tcW w:type="dxa" w:w="2351"/>
          </w:tcPr>
          <w:p>
            <w:pPr>
              <w:jc w:val="center"/>
            </w:pPr>
            <w:r/>
            <w:r>
              <w:rPr>
                <w:b w:val="0"/>
                <w:color w:val="1F2937"/>
                <w:sz w:val="19"/>
                <w:rFonts w:eastAsia="宋体" w:ascii="Times New Roman" w:hAnsi="Times New Roman"/>
              </w:rPr>
              <w:t>预计 2031 年耗尽</w:t>
            </w:r>
          </w:p>
        </w:tc>
        <w:tc>
          <w:tcPr>
            <w:tcW w:type="dxa" w:w="2351"/>
          </w:tcPr>
          <w:p>
            <w:pPr>
              <w:jc w:val="center"/>
            </w:pPr>
            <w:r/>
            <w:r>
              <w:rPr>
                <w:b w:val="0"/>
                <w:color w:val="1F2937"/>
                <w:sz w:val="19"/>
                <w:rFonts w:eastAsia="宋体" w:ascii="Times New Roman" w:hAnsi="Times New Roman"/>
              </w:rPr>
              <w:t>ESDM 2024</w:t>
            </w:r>
          </w:p>
        </w:tc>
      </w:tr>
      <w:tr>
        <w:tc>
          <w:tcPr>
            <w:tcW w:type="dxa" w:w="2351"/>
          </w:tcPr>
          <w:p>
            <w:pPr>
              <w:jc w:val="center"/>
            </w:pPr>
            <w:r/>
            <w:r>
              <w:rPr>
                <w:b w:val="0"/>
                <w:color w:val="1F2937"/>
                <w:sz w:val="19"/>
                <w:rFonts w:eastAsia="宋体" w:ascii="Times New Roman" w:hAnsi="Times New Roman"/>
              </w:rPr>
              <w:t>中品位 Ni&gt;1.5%（火法可用）</w:t>
            </w:r>
          </w:p>
        </w:tc>
        <w:tc>
          <w:tcPr>
            <w:tcW w:type="dxa" w:w="2351"/>
          </w:tcPr>
          <w:p>
            <w:pPr>
              <w:jc w:val="center"/>
            </w:pPr>
            <w:r/>
            <w:r>
              <w:rPr>
                <w:b w:val="0"/>
                <w:color w:val="1F2937"/>
                <w:sz w:val="19"/>
                <w:rFonts w:eastAsia="宋体" w:ascii="Times New Roman" w:hAnsi="Times New Roman"/>
              </w:rPr>
              <w:t>27.5 亿吨</w:t>
            </w:r>
          </w:p>
        </w:tc>
        <w:tc>
          <w:tcPr>
            <w:tcW w:type="dxa" w:w="2351"/>
          </w:tcPr>
          <w:p>
            <w:pPr>
              <w:jc w:val="center"/>
            </w:pPr>
            <w:r/>
            <w:r>
              <w:rPr>
                <w:b w:val="0"/>
                <w:color w:val="1F2937"/>
                <w:sz w:val="19"/>
                <w:rFonts w:eastAsia="宋体" w:ascii="Times New Roman" w:hAnsi="Times New Roman"/>
              </w:rPr>
              <w:t>预计 2036 年耗尽</w:t>
            </w:r>
          </w:p>
        </w:tc>
        <w:tc>
          <w:tcPr>
            <w:tcW w:type="dxa" w:w="2351"/>
          </w:tcPr>
          <w:p>
            <w:pPr>
              <w:jc w:val="center"/>
            </w:pPr>
            <w:r/>
            <w:r>
              <w:rPr>
                <w:b w:val="0"/>
                <w:color w:val="1F2937"/>
                <w:sz w:val="19"/>
                <w:rFonts w:eastAsia="宋体" w:ascii="Times New Roman" w:hAnsi="Times New Roman"/>
              </w:rPr>
              <w:t>ESDM 2024</w:t>
            </w:r>
          </w:p>
        </w:tc>
      </w:tr>
      <w:tr>
        <w:tc>
          <w:tcPr>
            <w:tcW w:type="dxa" w:w="2351"/>
          </w:tcPr>
          <w:p>
            <w:pPr>
              <w:jc w:val="center"/>
            </w:pPr>
            <w:r/>
            <w:r>
              <w:rPr>
                <w:b w:val="0"/>
                <w:color w:val="1F2937"/>
                <w:sz w:val="19"/>
                <w:rFonts w:eastAsia="宋体" w:ascii="Times New Roman" w:hAnsi="Times New Roman"/>
              </w:rPr>
              <w:t>低品位褐铁矿（HPAL 主用）</w:t>
            </w:r>
          </w:p>
        </w:tc>
        <w:tc>
          <w:tcPr>
            <w:tcW w:type="dxa" w:w="2351"/>
          </w:tcPr>
          <w:p>
            <w:pPr>
              <w:jc w:val="center"/>
            </w:pPr>
            <w:r/>
            <w:r>
              <w:rPr>
                <w:b w:val="0"/>
                <w:color w:val="1F2937"/>
                <w:sz w:val="19"/>
                <w:rFonts w:eastAsia="宋体" w:ascii="Times New Roman" w:hAnsi="Times New Roman"/>
              </w:rPr>
              <w:t>18.1 亿吨</w:t>
            </w:r>
          </w:p>
        </w:tc>
        <w:tc>
          <w:tcPr>
            <w:tcW w:type="dxa" w:w="2351"/>
          </w:tcPr>
          <w:p>
            <w:pPr>
              <w:jc w:val="center"/>
            </w:pPr>
            <w:r/>
            <w:r>
              <w:rPr>
                <w:b w:val="0"/>
                <w:color w:val="1F2937"/>
                <w:sz w:val="19"/>
                <w:rFonts w:eastAsia="宋体" w:ascii="Times New Roman" w:hAnsi="Times New Roman"/>
              </w:rPr>
              <w:t>预计可至 2055 年</w:t>
            </w:r>
          </w:p>
        </w:tc>
        <w:tc>
          <w:tcPr>
            <w:tcW w:type="dxa" w:w="2351"/>
          </w:tcPr>
          <w:p>
            <w:pPr>
              <w:jc w:val="center"/>
            </w:pPr>
            <w:r/>
            <w:r>
              <w:rPr>
                <w:b w:val="0"/>
                <w:color w:val="1F2937"/>
                <w:sz w:val="19"/>
                <w:rFonts w:eastAsia="宋体" w:ascii="Times New Roman" w:hAnsi="Times New Roman"/>
              </w:rPr>
              <w:t>ESDM 2024</w:t>
            </w:r>
          </w:p>
        </w:tc>
      </w:tr>
    </w:tbl>
    <w:p>
      <w:pPr>
        <w:spacing w:after="120" w:line="360" w:lineRule="auto"/>
      </w:pPr>
      <w:r>
        <w:rPr>
          <w:rFonts w:ascii="Times New Roman" w:hAnsi="Times New Roman" w:eastAsia="宋体"/>
          <w:b w:val="0"/>
          <w:color w:val="4B5563"/>
          <w:sz w:val="19"/>
        </w:rPr>
        <w:t>注：USGS 仅报告“含镍量&gt;0.5%”的可经济回收储量；ESDM“247 个验证点”含历史 + 新勘查数据；品位分类是印尼能矿部内部分级，与矿商交易品级基准（HPM）不重叠。本平台数据库对每一项均保留口径字段。</w:t>
      </w:r>
    </w:p>
    <w:p>
      <w:pPr>
        <w:spacing w:after="120" w:line="360" w:lineRule="auto"/>
        <w:jc w:val="both"/>
      </w:pPr>
      <w:r>
        <w:rPr>
          <w:rFonts w:ascii="Times New Roman" w:hAnsi="Times New Roman" w:eastAsia="宋体"/>
          <w:b w:val="0"/>
          <w:color w:val="1F2937"/>
          <w:sz w:val="22"/>
        </w:rPr>
        <w:t>两条时间线决定了产业的重心切换。第一条：高品位腐殖土型（saprolite）适合火法（RKEF）生产镍铁（NPI/FeNi）与高冰镍，预计 2031 年耗尽；ESDM 已在 2024 年 8 月宣布暂停或禁止新建 RKEF 设施。第二条：低品位褐铁矿型（limonite）适合湿法（HPAL）生产中间品 MHP/硫酸镍，预计可维持到 2055 年——这是当前印尼镍产业“下游化”的核心物质基础。从不锈钢（镍铁）到电池（中间品）的重心转移不是政策选择，而是地质禀赋。理解这一点有助于区分两种常见的叙事偏差：把“印尼成为电池超级大国”全部归功于政策，或把“印尼镍储量丰富”作为无限供给的承诺——两者都不准确。</w:t>
      </w:r>
    </w:p>
    <w:p>
      <w:pPr>
        <w:spacing w:before="360" w:after="120"/>
      </w:pPr>
      <w:r>
        <w:rPr>
          <w:rFonts w:ascii="黑体" w:hAnsi="黑体" w:eastAsia="黑体"/>
          <w:b/>
          <w:color w:val="0B3A5C"/>
          <w:sz w:val="30"/>
        </w:rPr>
        <w:t>二、产业链轨迹：从原矿到电池电芯</w:t>
      </w:r>
    </w:p>
    <w:p>
      <w:pPr>
        <w:spacing w:after="120" w:line="360" w:lineRule="auto"/>
        <w:jc w:val="both"/>
      </w:pPr>
      <w:r>
        <w:rPr>
          <w:rFonts w:ascii="Times New Roman" w:hAnsi="Times New Roman" w:eastAsia="宋体"/>
          <w:b w:val="0"/>
          <w:color w:val="1F2937"/>
          <w:sz w:val="22"/>
        </w:rPr>
        <w:t>印尼镍产业链在过去十年走过三阶段：原矿出口阶段（2010–2014）、过渡与重启阶段（2014–2019，2017 年有条件放开低品位矿）、全面下游化阶段（2020–2025）。三阶段对应不同的产业链形态：</w:t>
      </w:r>
    </w:p>
    <w:p>
      <w:pPr>
        <w:spacing w:before="200" w:after="80"/>
      </w:pPr>
      <w:r>
        <w:rPr>
          <w:rFonts w:ascii="黑体" w:hAnsi="黑体" w:eastAsia="黑体"/>
          <w:b/>
          <w:color w:val="0E7C8A"/>
          <w:sz w:val="25"/>
        </w:rPr>
        <w:t>表 2：印尼镍产业链的产能演进（2014 → 2025）</w:t>
      </w:r>
    </w:p>
    <w:tbl>
      <w:tblPr>
        <w:tblStyle w:val="LightGrid-Accent1"/>
        <w:tblW w:type="auto" w:w="0"/>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B3A5C"/>
                <w:sz w:val="20"/>
                <w:rFonts w:eastAsia="黑体" w:ascii="Times New Roman" w:hAnsi="Times New Roman"/>
              </w:rPr>
              <w:t>指标</w:t>
            </w:r>
          </w:p>
        </w:tc>
        <w:tc>
          <w:tcPr>
            <w:tcW w:type="dxa" w:w="1881"/>
          </w:tcPr>
          <w:p>
            <w:pPr>
              <w:jc w:val="center"/>
            </w:pPr>
            <w:r/>
            <w:r>
              <w:rPr>
                <w:b/>
                <w:color w:val="0B3A5C"/>
                <w:sz w:val="20"/>
                <w:rFonts w:eastAsia="黑体" w:ascii="Times New Roman" w:hAnsi="Times New Roman"/>
              </w:rPr>
              <w:t>2014</w:t>
            </w:r>
          </w:p>
        </w:tc>
        <w:tc>
          <w:tcPr>
            <w:tcW w:type="dxa" w:w="1881"/>
          </w:tcPr>
          <w:p>
            <w:pPr>
              <w:jc w:val="center"/>
            </w:pPr>
            <w:r/>
            <w:r>
              <w:rPr>
                <w:b/>
                <w:color w:val="0B3A5C"/>
                <w:sz w:val="20"/>
                <w:rFonts w:eastAsia="黑体" w:ascii="Times New Roman" w:hAnsi="Times New Roman"/>
              </w:rPr>
              <w:t>2019</w:t>
            </w:r>
          </w:p>
        </w:tc>
        <w:tc>
          <w:tcPr>
            <w:tcW w:type="dxa" w:w="1881"/>
          </w:tcPr>
          <w:p>
            <w:pPr>
              <w:jc w:val="center"/>
            </w:pPr>
            <w:r/>
            <w:r>
              <w:rPr>
                <w:b/>
                <w:color w:val="0B3A5C"/>
                <w:sz w:val="20"/>
                <w:rFonts w:eastAsia="黑体" w:ascii="Times New Roman" w:hAnsi="Times New Roman"/>
              </w:rPr>
              <w:t>2023</w:t>
            </w:r>
          </w:p>
        </w:tc>
        <w:tc>
          <w:tcPr>
            <w:tcW w:type="dxa" w:w="1881"/>
          </w:tcPr>
          <w:p>
            <w:pPr>
              <w:jc w:val="center"/>
            </w:pPr>
            <w:r/>
            <w:r>
              <w:rPr>
                <w:b/>
                <w:color w:val="0B3A5C"/>
                <w:sz w:val="20"/>
                <w:rFonts w:eastAsia="黑体" w:ascii="Times New Roman" w:hAnsi="Times New Roman"/>
              </w:rPr>
              <w:t>2024–2025</w:t>
            </w:r>
          </w:p>
        </w:tc>
      </w:tr>
      <w:tr>
        <w:tc>
          <w:tcPr>
            <w:tcW w:type="dxa" w:w="1881"/>
          </w:tcPr>
          <w:p>
            <w:pPr>
              <w:jc w:val="center"/>
            </w:pPr>
            <w:r/>
            <w:r>
              <w:rPr>
                <w:b w:val="0"/>
                <w:color w:val="1F2937"/>
                <w:sz w:val="19"/>
                <w:rFonts w:eastAsia="宋体" w:ascii="Times New Roman" w:hAnsi="Times New Roman"/>
              </w:rPr>
              <w:t>冶炼厂数量（运营）</w:t>
            </w:r>
          </w:p>
        </w:tc>
        <w:tc>
          <w:tcPr>
            <w:tcW w:type="dxa" w:w="1881"/>
          </w:tcPr>
          <w:p>
            <w:pPr>
              <w:jc w:val="center"/>
            </w:pPr>
            <w:r/>
            <w:r>
              <w:rPr>
                <w:b w:val="0"/>
                <w:color w:val="1F2937"/>
                <w:sz w:val="19"/>
                <w:rFonts w:eastAsia="宋体" w:ascii="Times New Roman" w:hAnsi="Times New Roman"/>
              </w:rPr>
              <w:t>2</w:t>
            </w:r>
          </w:p>
        </w:tc>
        <w:tc>
          <w:tcPr>
            <w:tcW w:type="dxa" w:w="1881"/>
          </w:tcPr>
          <w:p>
            <w:pPr>
              <w:jc w:val="center"/>
            </w:pPr>
            <w:r/>
            <w:r>
              <w:rPr>
                <w:b w:val="0"/>
                <w:color w:val="1F2937"/>
                <w:sz w:val="19"/>
                <w:rFonts w:eastAsia="宋体" w:ascii="Times New Roman" w:hAnsi="Times New Roman"/>
              </w:rPr>
              <w:t>17</w:t>
            </w:r>
          </w:p>
        </w:tc>
        <w:tc>
          <w:tcPr>
            <w:tcW w:type="dxa" w:w="1881"/>
          </w:tcPr>
          <w:p>
            <w:pPr>
              <w:jc w:val="center"/>
            </w:pPr>
            <w:r/>
            <w:r>
              <w:rPr>
                <w:b w:val="0"/>
                <w:color w:val="1F2937"/>
                <w:sz w:val="19"/>
                <w:rFonts w:eastAsia="宋体" w:ascii="Times New Roman" w:hAnsi="Times New Roman"/>
              </w:rPr>
              <w:t>48</w:t>
            </w:r>
          </w:p>
        </w:tc>
        <w:tc>
          <w:tcPr>
            <w:tcW w:type="dxa" w:w="1881"/>
          </w:tcPr>
          <w:p>
            <w:pPr>
              <w:jc w:val="center"/>
            </w:pPr>
            <w:r/>
            <w:r>
              <w:rPr>
                <w:b w:val="0"/>
                <w:color w:val="1F2937"/>
                <w:sz w:val="19"/>
                <w:rFonts w:eastAsia="宋体" w:ascii="Times New Roman" w:hAnsi="Times New Roman"/>
              </w:rPr>
              <w:t>44 运营 + 26 在建 / 规划</w:t>
            </w:r>
          </w:p>
        </w:tc>
      </w:tr>
      <w:tr>
        <w:tc>
          <w:tcPr>
            <w:tcW w:type="dxa" w:w="1881"/>
          </w:tcPr>
          <w:p>
            <w:pPr>
              <w:jc w:val="center"/>
            </w:pPr>
            <w:r/>
            <w:r>
              <w:rPr>
                <w:b w:val="0"/>
                <w:color w:val="1F2937"/>
                <w:sz w:val="19"/>
                <w:rFonts w:eastAsia="宋体" w:ascii="Times New Roman" w:hAnsi="Times New Roman"/>
              </w:rPr>
              <w:t>镍矿产量占全球</w:t>
            </w:r>
          </w:p>
        </w:tc>
        <w:tc>
          <w:tcPr>
            <w:tcW w:type="dxa" w:w="1881"/>
          </w:tcPr>
          <w:p>
            <w:pPr>
              <w:jc w:val="center"/>
            </w:pPr>
            <w:r/>
            <w:r>
              <w:rPr>
                <w:b w:val="0"/>
                <w:color w:val="1F2937"/>
                <w:sz w:val="19"/>
                <w:rFonts w:eastAsia="宋体" w:ascii="Times New Roman" w:hAnsi="Times New Roman"/>
              </w:rPr>
              <w:t>10%</w:t>
            </w:r>
          </w:p>
        </w:tc>
        <w:tc>
          <w:tcPr>
            <w:tcW w:type="dxa" w:w="1881"/>
          </w:tcPr>
          <w:p>
            <w:pPr>
              <w:jc w:val="center"/>
            </w:pPr>
            <w:r/>
            <w:r>
              <w:rPr>
                <w:b w:val="0"/>
                <w:color w:val="1F2937"/>
                <w:sz w:val="19"/>
                <w:rFonts w:eastAsia="宋体" w:ascii="Times New Roman" w:hAnsi="Times New Roman"/>
              </w:rPr>
              <w:t>30%</w:t>
            </w:r>
          </w:p>
        </w:tc>
        <w:tc>
          <w:tcPr>
            <w:tcW w:type="dxa" w:w="1881"/>
          </w:tcPr>
          <w:p>
            <w:pPr>
              <w:jc w:val="center"/>
            </w:pPr>
            <w:r/>
            <w:r>
              <w:rPr>
                <w:b w:val="0"/>
                <w:color w:val="1F2937"/>
                <w:sz w:val="19"/>
                <w:rFonts w:eastAsia="宋体" w:ascii="Times New Roman" w:hAnsi="Times New Roman"/>
              </w:rPr>
              <w:t>50%</w:t>
            </w:r>
          </w:p>
        </w:tc>
        <w:tc>
          <w:tcPr>
            <w:tcW w:type="dxa" w:w="1881"/>
          </w:tcPr>
          <w:p>
            <w:pPr>
              <w:jc w:val="center"/>
            </w:pPr>
            <w:r/>
            <w:r>
              <w:rPr>
                <w:b w:val="0"/>
                <w:color w:val="1F2937"/>
                <w:sz w:val="19"/>
                <w:rFonts w:eastAsia="宋体" w:ascii="Times New Roman" w:hAnsi="Times New Roman"/>
              </w:rPr>
              <w:t>59.5%（USGS）</w:t>
            </w:r>
          </w:p>
        </w:tc>
      </w:tr>
      <w:tr>
        <w:tc>
          <w:tcPr>
            <w:tcW w:type="dxa" w:w="1881"/>
          </w:tcPr>
          <w:p>
            <w:pPr>
              <w:jc w:val="center"/>
            </w:pPr>
            <w:r/>
            <w:r>
              <w:rPr>
                <w:b w:val="0"/>
                <w:color w:val="1F2937"/>
                <w:sz w:val="19"/>
                <w:rFonts w:eastAsia="宋体" w:ascii="Times New Roman" w:hAnsi="Times New Roman"/>
              </w:rPr>
              <w:t>精炼镍占全球</w:t>
            </w:r>
          </w:p>
        </w:tc>
        <w:tc>
          <w:tcPr>
            <w:tcW w:type="dxa" w:w="1881"/>
          </w:tcPr>
          <w:p>
            <w:pPr>
              <w:jc w:val="center"/>
            </w:pPr>
            <w:r/>
            <w:r>
              <w:rPr>
                <w:b w:val="0"/>
                <w:color w:val="1F2937"/>
                <w:sz w:val="19"/>
                <w:rFonts w:eastAsia="宋体" w:ascii="Times New Roman" w:hAnsi="Times New Roman"/>
              </w:rPr>
              <w:t>&lt;5%</w:t>
            </w:r>
          </w:p>
        </w:tc>
        <w:tc>
          <w:tcPr>
            <w:tcW w:type="dxa" w:w="1881"/>
          </w:tcPr>
          <w:p>
            <w:pPr>
              <w:jc w:val="center"/>
            </w:pPr>
            <w:r/>
            <w:r>
              <w:rPr>
                <w:b w:val="0"/>
                <w:color w:val="1F2937"/>
                <w:sz w:val="19"/>
                <w:rFonts w:eastAsia="宋体" w:ascii="Times New Roman" w:hAnsi="Times New Roman"/>
              </w:rPr>
              <w:t>23%</w:t>
            </w:r>
          </w:p>
        </w:tc>
        <w:tc>
          <w:tcPr>
            <w:tcW w:type="dxa" w:w="1881"/>
          </w:tcPr>
          <w:p>
            <w:pPr>
              <w:jc w:val="center"/>
            </w:pPr>
            <w:r/>
            <w:r>
              <w:rPr>
                <w:b w:val="0"/>
                <w:color w:val="1F2937"/>
                <w:sz w:val="19"/>
                <w:rFonts w:eastAsia="宋体" w:ascii="Times New Roman" w:hAnsi="Times New Roman"/>
              </w:rPr>
              <w:t>37%</w:t>
            </w:r>
          </w:p>
        </w:tc>
        <w:tc>
          <w:tcPr>
            <w:tcW w:type="dxa" w:w="1881"/>
          </w:tcPr>
          <w:p>
            <w:pPr>
              <w:jc w:val="center"/>
            </w:pPr>
            <w:r/>
            <w:r>
              <w:rPr>
                <w:b w:val="0"/>
                <w:color w:val="1F2937"/>
                <w:sz w:val="19"/>
                <w:rFonts w:eastAsia="宋体" w:ascii="Times New Roman" w:hAnsi="Times New Roman"/>
              </w:rPr>
              <w:t>约 49%</w:t>
            </w:r>
          </w:p>
        </w:tc>
      </w:tr>
      <w:tr>
        <w:tc>
          <w:tcPr>
            <w:tcW w:type="dxa" w:w="1881"/>
          </w:tcPr>
          <w:p>
            <w:pPr>
              <w:jc w:val="center"/>
            </w:pPr>
            <w:r/>
            <w:r>
              <w:rPr>
                <w:b w:val="0"/>
                <w:color w:val="1F2937"/>
                <w:sz w:val="19"/>
                <w:rFonts w:eastAsia="宋体" w:ascii="Times New Roman" w:hAnsi="Times New Roman"/>
              </w:rPr>
              <w:t>原生镍出口值（亿美元）</w:t>
            </w:r>
          </w:p>
        </w:tc>
        <w:tc>
          <w:tcPr>
            <w:tcW w:type="dxa" w:w="1881"/>
          </w:tcPr>
          <w:p>
            <w:pPr>
              <w:jc w:val="center"/>
            </w:pPr>
            <w:r/>
            <w:r>
              <w:rPr>
                <w:b w:val="0"/>
                <w:color w:val="1F2937"/>
                <w:sz w:val="19"/>
                <w:rFonts w:eastAsia="宋体" w:ascii="Times New Roman" w:hAnsi="Times New Roman"/>
              </w:rPr>
              <w:t>约 10</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约 200（年度）</w:t>
            </w:r>
          </w:p>
        </w:tc>
      </w:tr>
      <w:tr>
        <w:tc>
          <w:tcPr>
            <w:tcW w:type="dxa" w:w="1881"/>
          </w:tcPr>
          <w:p>
            <w:pPr>
              <w:jc w:val="center"/>
            </w:pPr>
            <w:r/>
            <w:r>
              <w:rPr>
                <w:b w:val="0"/>
                <w:color w:val="1F2937"/>
                <w:sz w:val="19"/>
                <w:rFonts w:eastAsia="宋体" w:ascii="Times New Roman" w:hAnsi="Times New Roman"/>
              </w:rPr>
              <w:t>镍相关产业 GDP 增值</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14 亿</w:t>
            </w:r>
          </w:p>
        </w:tc>
        <w:tc>
          <w:tcPr>
            <w:tcW w:type="dxa" w:w="1881"/>
          </w:tcPr>
          <w:p>
            <w:pPr>
              <w:jc w:val="center"/>
            </w:pPr>
            <w:r/>
            <w:r>
              <w:rPr>
                <w:b w:val="0"/>
                <w:color w:val="1F2937"/>
                <w:sz w:val="19"/>
                <w:rFonts w:eastAsia="宋体" w:ascii="Times New Roman" w:hAnsi="Times New Roman"/>
              </w:rPr>
              <w:t>348 亿</w:t>
            </w:r>
          </w:p>
        </w:tc>
        <w:tc>
          <w:tcPr>
            <w:tcW w:type="dxa" w:w="1881"/>
          </w:tcPr>
          <w:p>
            <w:pPr>
              <w:jc w:val="center"/>
            </w:pPr>
            <w:r/>
            <w:r>
              <w:rPr>
                <w:b w:val="0"/>
                <w:color w:val="1F2937"/>
                <w:sz w:val="19"/>
                <w:rFonts w:eastAsia="宋体" w:ascii="Times New Roman" w:hAnsi="Times New Roman"/>
              </w:rPr>
              <w:t>预计 450+ 亿</w:t>
            </w:r>
          </w:p>
        </w:tc>
      </w:tr>
      <w:tr>
        <w:tc>
          <w:tcPr>
            <w:tcW w:type="dxa" w:w="1881"/>
          </w:tcPr>
          <w:p>
            <w:pPr>
              <w:jc w:val="center"/>
            </w:pPr>
            <w:r/>
            <w:r>
              <w:rPr>
                <w:b w:val="0"/>
                <w:color w:val="1F2937"/>
                <w:sz w:val="19"/>
                <w:rFonts w:eastAsia="宋体" w:ascii="Times New Roman" w:hAnsi="Times New Roman"/>
              </w:rPr>
              <w:t>电池电芯产能（GWh）</w:t>
            </w:r>
          </w:p>
        </w:tc>
        <w:tc>
          <w:tcPr>
            <w:tcW w:type="dxa" w:w="1881"/>
          </w:tcPr>
          <w:p>
            <w:pPr>
              <w:jc w:val="center"/>
            </w:pPr>
            <w:r/>
            <w:r>
              <w:rPr>
                <w:b w:val="0"/>
                <w:color w:val="1F2937"/>
                <w:sz w:val="19"/>
                <w:rFonts w:eastAsia="宋体" w:ascii="Times New Roman" w:hAnsi="Times New Roman"/>
              </w:rPr>
              <w:t>0</w:t>
            </w:r>
          </w:p>
        </w:tc>
        <w:tc>
          <w:tcPr>
            <w:tcW w:type="dxa" w:w="1881"/>
          </w:tcPr>
          <w:p>
            <w:pPr>
              <w:jc w:val="center"/>
            </w:pPr>
            <w:r/>
            <w:r>
              <w:rPr>
                <w:b w:val="0"/>
                <w:color w:val="1F2937"/>
                <w:sz w:val="19"/>
                <w:rFonts w:eastAsia="宋体" w:ascii="Times New Roman" w:hAnsi="Times New Roman"/>
              </w:rPr>
              <w:t>0</w:t>
            </w:r>
          </w:p>
        </w:tc>
        <w:tc>
          <w:tcPr>
            <w:tcW w:type="dxa" w:w="1881"/>
          </w:tcPr>
          <w:p>
            <w:pPr>
              <w:jc w:val="center"/>
            </w:pPr>
            <w:r/>
            <w:r>
              <w:rPr>
                <w:b w:val="0"/>
                <w:color w:val="1F2937"/>
                <w:sz w:val="19"/>
                <w:rFonts w:eastAsia="宋体" w:ascii="Times New Roman" w:hAnsi="Times New Roman"/>
              </w:rPr>
              <w:t>0</w:t>
            </w:r>
          </w:p>
        </w:tc>
        <w:tc>
          <w:tcPr>
            <w:tcW w:type="dxa" w:w="1881"/>
          </w:tcPr>
          <w:p>
            <w:pPr>
              <w:jc w:val="center"/>
            </w:pPr>
            <w:r/>
            <w:r>
              <w:rPr>
                <w:b w:val="0"/>
                <w:color w:val="1F2937"/>
                <w:sz w:val="19"/>
                <w:rFonts w:eastAsia="宋体" w:ascii="Times New Roman" w:hAnsi="Times New Roman"/>
              </w:rPr>
              <w:t>10 运营 + 6.9 在建 + 30+ 规划</w:t>
            </w:r>
          </w:p>
        </w:tc>
      </w:tr>
    </w:tbl>
    <w:p>
      <w:pPr>
        <w:spacing w:after="120" w:line="360" w:lineRule="auto"/>
      </w:pPr>
      <w:r>
        <w:rPr>
          <w:rFonts w:ascii="Times New Roman" w:hAnsi="Times New Roman" w:eastAsia="宋体"/>
          <w:b w:val="0"/>
          <w:color w:val="4B5563"/>
          <w:sz w:val="19"/>
        </w:rPr>
        <w:t>注：冶炼厂含镍铁 + 高冰镍 + HPAL；2023 年 48 座为印尼能矿部 2023 年 9 月公告口径，2024 年 USGS 报告为 44 座（含技术调整 + 部分闲置）；镍相关 GDP 增值 2020 → 2023 数字来自 UNCTAD 与 PwC；电池电芯产能含 HLI Green Power（运营 10 GWh）与 CATL 龙项目（在建 6.9 GWh → 远期 15 GWh）。</w:t>
      </w:r>
    </w:p>
    <w:p>
      <w:pPr>
        <w:spacing w:after="120" w:line="360" w:lineRule="auto"/>
        <w:jc w:val="both"/>
      </w:pPr>
      <w:r>
        <w:rPr>
          <w:rFonts w:ascii="Times New Roman" w:hAnsi="Times New Roman" w:eastAsia="宋体"/>
          <w:b w:val="0"/>
          <w:color w:val="1F2937"/>
          <w:sz w:val="22"/>
        </w:rPr>
        <w:t>产能数字的背后是两家园区集团。IMIP（印尼莫罗瓦利工业园区，位于中苏拉威西）由青山集团（Tsingshan）与印尼 Bintang Delapan 合资，2013 年起建设；截至 2025 年已吸引总投资约 343 亿美元，雇佣 8.5 万人，运营 12 条 RKEF 镍铁线（年产能 105 万吨），是全球最大的不锈钢与电池前驱体一体化基地。IWIP（印尼韦达湾工业园区，位于北马鲁古中哈马黑拉）由振石控股集团投资建设，2022 年启动、两年内核心基础设施完工并投产，规划 2 万公顷，同样以 RKEF + HPAL 双线并行。两个园区合计承载了印尼镍冶炼产能的过半份额，是中资产业链海外落地的标志性集群。</w:t>
      </w:r>
    </w:p>
    <w:p>
      <w:pPr>
        <w:spacing w:after="120" w:line="360" w:lineRule="auto"/>
        <w:jc w:val="both"/>
      </w:pPr>
      <w:r>
        <w:rPr>
          <w:rFonts w:ascii="Times New Roman" w:hAnsi="Times New Roman" w:eastAsia="宋体"/>
          <w:b w:val="0"/>
          <w:color w:val="1F2937"/>
          <w:sz w:val="22"/>
        </w:rPr>
        <w:t>与此同时，电芯环节是印尼“下游化”真正突破政策天花板的标志。2024 年 7 月，HLI Green Power（现代汽车 + LG 新能源合资）在西爪哇 Karawang 投产，是东南亚首座 10 GWh 电芯厂，主要供应现代 Ioniq 5、Kona EV 及起亚车型；2025 年 6 月 29 日，由宁德时代子公司普勤时代（CBL）、ANTAM、IBC 三方组建的“龙项目”在 Karawang 与北马鲁古东哈马黑拉两地同时奠基，总投资 59.68 亿美元，一期 6.9 GWh、远期 15 GWh，规划总用地超 2,000 公顷，年产镍 14.2 万吨、正极材料 3 万吨，处理废旧电池 2 万吨。2025 年 12 月，龙项目电池电芯厂一期完工，进入分阶段投产——这是东南亚最大单体电池项目，也是印尼首次实现“矿—中间品—电芯—回收”完整闭环的尝试。</w:t>
      </w:r>
    </w:p>
    <w:p>
      <w:pPr>
        <w:spacing w:before="360" w:after="120"/>
      </w:pPr>
      <w:r>
        <w:rPr>
          <w:rFonts w:ascii="黑体" w:hAnsi="黑体" w:eastAsia="黑体"/>
          <w:b/>
          <w:color w:val="0B3A5C"/>
          <w:sz w:val="30"/>
        </w:rPr>
        <w:t>三、KPI 成绩单：四个梯队</w:t>
      </w:r>
    </w:p>
    <w:p>
      <w:pPr>
        <w:spacing w:after="120" w:line="360" w:lineRule="auto"/>
        <w:jc w:val="both"/>
      </w:pPr>
      <w:r>
        <w:rPr>
          <w:rFonts w:ascii="Times New Roman" w:hAnsi="Times New Roman" w:eastAsia="宋体"/>
          <w:b w:val="0"/>
          <w:color w:val="1F2937"/>
          <w:sz w:val="22"/>
        </w:rPr>
        <w:t>与沙特文章同源方法：将主要指标按与“终极目标”的距离分为四个梯队，使图景不只受单一数字定义。</w:t>
      </w:r>
    </w:p>
    <w:p>
      <w:pPr>
        <w:spacing w:before="200" w:after="80"/>
      </w:pPr>
      <w:r>
        <w:rPr>
          <w:rFonts w:ascii="黑体" w:hAnsi="黑体" w:eastAsia="黑体"/>
          <w:b/>
          <w:color w:val="0E7C8A"/>
          <w:sz w:val="25"/>
        </w:rPr>
        <w:t>表 3：印尼镍产业链 KPI 五年成绩单（2020 → 2025）</w:t>
      </w:r>
    </w:p>
    <w:tbl>
      <w:tblPr>
        <w:tblStyle w:val="LightGrid-Accent1"/>
        <w:tblW w:type="auto" w:w="0"/>
        <w:tblLook w:firstColumn="1" w:firstRow="1" w:lastColumn="0" w:lastRow="0" w:noHBand="0" w:noVBand="1" w:val="04A0"/>
      </w:tblPr>
      <w:tblGrid>
        <w:gridCol w:w="1881"/>
        <w:gridCol w:w="1881"/>
        <w:gridCol w:w="1881"/>
        <w:gridCol w:w="1881"/>
        <w:gridCol w:w="1881"/>
      </w:tblGrid>
      <w:tr>
        <w:tc>
          <w:tcPr>
            <w:tcW w:type="dxa" w:w="1881"/>
          </w:tcPr>
          <w:p>
            <w:pPr>
              <w:jc w:val="center"/>
            </w:pPr>
            <w:r/>
            <w:r>
              <w:rPr>
                <w:b/>
                <w:color w:val="0B3A5C"/>
                <w:sz w:val="20"/>
                <w:rFonts w:eastAsia="黑体" w:ascii="Times New Roman" w:hAnsi="Times New Roman"/>
              </w:rPr>
              <w:t>指标</w:t>
            </w:r>
          </w:p>
        </w:tc>
        <w:tc>
          <w:tcPr>
            <w:tcW w:type="dxa" w:w="1881"/>
          </w:tcPr>
          <w:p>
            <w:pPr>
              <w:jc w:val="center"/>
            </w:pPr>
            <w:r/>
            <w:r>
              <w:rPr>
                <w:b/>
                <w:color w:val="0B3A5C"/>
                <w:sz w:val="20"/>
                <w:rFonts w:eastAsia="黑体" w:ascii="Times New Roman" w:hAnsi="Times New Roman"/>
              </w:rPr>
              <w:t>基线（2020）</w:t>
            </w:r>
          </w:p>
        </w:tc>
        <w:tc>
          <w:tcPr>
            <w:tcW w:type="dxa" w:w="1881"/>
          </w:tcPr>
          <w:p>
            <w:pPr>
              <w:jc w:val="center"/>
            </w:pPr>
            <w:r/>
            <w:r>
              <w:rPr>
                <w:b/>
                <w:color w:val="0B3A5C"/>
                <w:sz w:val="20"/>
                <w:rFonts w:eastAsia="黑体" w:ascii="Times New Roman" w:hAnsi="Times New Roman"/>
              </w:rPr>
              <w:t>2025 实际</w:t>
            </w:r>
          </w:p>
        </w:tc>
        <w:tc>
          <w:tcPr>
            <w:tcW w:type="dxa" w:w="1881"/>
          </w:tcPr>
          <w:p>
            <w:pPr>
              <w:jc w:val="center"/>
            </w:pPr>
            <w:r/>
            <w:r>
              <w:rPr>
                <w:b/>
                <w:color w:val="0B3A5C"/>
                <w:sz w:val="20"/>
                <w:rFonts w:eastAsia="黑体" w:ascii="Times New Roman" w:hAnsi="Times New Roman"/>
              </w:rPr>
              <w:t>目标</w:t>
            </w:r>
          </w:p>
        </w:tc>
        <w:tc>
          <w:tcPr>
            <w:tcW w:type="dxa" w:w="1881"/>
          </w:tcPr>
          <w:p>
            <w:pPr>
              <w:jc w:val="center"/>
            </w:pPr>
            <w:r/>
            <w:r>
              <w:rPr>
                <w:b/>
                <w:color w:val="0B3A5C"/>
                <w:sz w:val="20"/>
                <w:rFonts w:eastAsia="黑体" w:ascii="Times New Roman" w:hAnsi="Times New Roman"/>
              </w:rPr>
              <w:t>梯队</w:t>
            </w:r>
          </w:p>
        </w:tc>
      </w:tr>
      <w:tr>
        <w:tc>
          <w:tcPr>
            <w:tcW w:type="dxa" w:w="1881"/>
          </w:tcPr>
          <w:p>
            <w:pPr>
              <w:jc w:val="center"/>
            </w:pPr>
            <w:r/>
            <w:r>
              <w:rPr>
                <w:b w:val="0"/>
                <w:color w:val="1F2937"/>
                <w:sz w:val="19"/>
                <w:rFonts w:eastAsia="宋体" w:ascii="Times New Roman" w:hAnsi="Times New Roman"/>
              </w:rPr>
              <w:t>冶炼厂数量</w:t>
            </w:r>
          </w:p>
        </w:tc>
        <w:tc>
          <w:tcPr>
            <w:tcW w:type="dxa" w:w="1881"/>
          </w:tcPr>
          <w:p>
            <w:pPr>
              <w:jc w:val="center"/>
            </w:pPr>
            <w:r/>
            <w:r>
              <w:rPr>
                <w:b w:val="0"/>
                <w:color w:val="1F2937"/>
                <w:sz w:val="19"/>
                <w:rFonts w:eastAsia="宋体" w:ascii="Times New Roman" w:hAnsi="Times New Roman"/>
              </w:rPr>
              <w:t>约 20</w:t>
            </w:r>
          </w:p>
        </w:tc>
        <w:tc>
          <w:tcPr>
            <w:tcW w:type="dxa" w:w="1881"/>
          </w:tcPr>
          <w:p>
            <w:pPr>
              <w:jc w:val="center"/>
            </w:pPr>
            <w:r/>
            <w:r>
              <w:rPr>
                <w:b w:val="0"/>
                <w:color w:val="1F2937"/>
                <w:sz w:val="19"/>
                <w:rFonts w:eastAsia="宋体" w:ascii="Times New Roman" w:hAnsi="Times New Roman"/>
              </w:rPr>
              <w:t>44 运营 + 26 在建</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存量远超</w:t>
            </w:r>
          </w:p>
        </w:tc>
      </w:tr>
      <w:tr>
        <w:tc>
          <w:tcPr>
            <w:tcW w:type="dxa" w:w="1881"/>
          </w:tcPr>
          <w:p>
            <w:pPr>
              <w:jc w:val="center"/>
            </w:pPr>
            <w:r/>
            <w:r>
              <w:rPr>
                <w:b w:val="0"/>
                <w:color w:val="1F2937"/>
                <w:sz w:val="19"/>
                <w:rFonts w:eastAsia="宋体" w:ascii="Times New Roman" w:hAnsi="Times New Roman"/>
              </w:rPr>
              <w:t>矿产量占全球</w:t>
            </w:r>
          </w:p>
        </w:tc>
        <w:tc>
          <w:tcPr>
            <w:tcW w:type="dxa" w:w="1881"/>
          </w:tcPr>
          <w:p>
            <w:pPr>
              <w:jc w:val="center"/>
            </w:pPr>
            <w:r/>
            <w:r>
              <w:rPr>
                <w:b w:val="0"/>
                <w:color w:val="1F2937"/>
                <w:sz w:val="19"/>
                <w:rFonts w:eastAsia="宋体" w:ascii="Times New Roman" w:hAnsi="Times New Roman"/>
              </w:rPr>
              <w:t>约 30%</w:t>
            </w:r>
          </w:p>
        </w:tc>
        <w:tc>
          <w:tcPr>
            <w:tcW w:type="dxa" w:w="1881"/>
          </w:tcPr>
          <w:p>
            <w:pPr>
              <w:jc w:val="center"/>
            </w:pPr>
            <w:r/>
            <w:r>
              <w:rPr>
                <w:b w:val="0"/>
                <w:color w:val="1F2937"/>
                <w:sz w:val="19"/>
                <w:rFonts w:eastAsia="宋体" w:ascii="Times New Roman" w:hAnsi="Times New Roman"/>
              </w:rPr>
              <w:t>59.5%（USGS）</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存量领先</w:t>
            </w:r>
          </w:p>
        </w:tc>
      </w:tr>
      <w:tr>
        <w:tc>
          <w:tcPr>
            <w:tcW w:type="dxa" w:w="1881"/>
          </w:tcPr>
          <w:p>
            <w:pPr>
              <w:jc w:val="center"/>
            </w:pPr>
            <w:r/>
            <w:r>
              <w:rPr>
                <w:b w:val="0"/>
                <w:color w:val="1F2937"/>
                <w:sz w:val="19"/>
                <w:rFonts w:eastAsia="宋体" w:ascii="Times New Roman" w:hAnsi="Times New Roman"/>
              </w:rPr>
              <w:t>原生镍出口值</w:t>
            </w:r>
          </w:p>
        </w:tc>
        <w:tc>
          <w:tcPr>
            <w:tcW w:type="dxa" w:w="1881"/>
          </w:tcPr>
          <w:p>
            <w:pPr>
              <w:jc w:val="center"/>
            </w:pPr>
            <w:r/>
            <w:r>
              <w:rPr>
                <w:b w:val="0"/>
                <w:color w:val="1F2937"/>
                <w:sz w:val="19"/>
                <w:rFonts w:eastAsia="宋体" w:ascii="Times New Roman" w:hAnsi="Times New Roman"/>
              </w:rPr>
              <w:t>约 10 亿美元</w:t>
            </w:r>
          </w:p>
        </w:tc>
        <w:tc>
          <w:tcPr>
            <w:tcW w:type="dxa" w:w="1881"/>
          </w:tcPr>
          <w:p>
            <w:pPr>
              <w:jc w:val="center"/>
            </w:pPr>
            <w:r/>
            <w:r>
              <w:rPr>
                <w:b w:val="0"/>
                <w:color w:val="1F2937"/>
                <w:sz w:val="19"/>
                <w:rFonts w:eastAsia="宋体" w:ascii="Times New Roman" w:hAnsi="Times New Roman"/>
              </w:rPr>
              <w:t>约 200 亿美元</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20 倍增</w:t>
            </w:r>
          </w:p>
        </w:tc>
      </w:tr>
      <w:tr>
        <w:tc>
          <w:tcPr>
            <w:tcW w:type="dxa" w:w="1881"/>
          </w:tcPr>
          <w:p>
            <w:pPr>
              <w:jc w:val="center"/>
            </w:pPr>
            <w:r/>
            <w:r>
              <w:rPr>
                <w:b w:val="0"/>
                <w:color w:val="1F2937"/>
                <w:sz w:val="19"/>
                <w:rFonts w:eastAsia="宋体" w:ascii="Times New Roman" w:hAnsi="Times New Roman"/>
              </w:rPr>
              <w:t>镍相关产业 GDP 增值</w:t>
            </w:r>
          </w:p>
        </w:tc>
        <w:tc>
          <w:tcPr>
            <w:tcW w:type="dxa" w:w="1881"/>
          </w:tcPr>
          <w:p>
            <w:pPr>
              <w:jc w:val="center"/>
            </w:pPr>
            <w:r/>
            <w:r>
              <w:rPr>
                <w:b w:val="0"/>
                <w:color w:val="1F2937"/>
                <w:sz w:val="19"/>
                <w:rFonts w:eastAsia="宋体" w:ascii="Times New Roman" w:hAnsi="Times New Roman"/>
              </w:rPr>
              <w:t>14 亿美元</w:t>
            </w:r>
          </w:p>
        </w:tc>
        <w:tc>
          <w:tcPr>
            <w:tcW w:type="dxa" w:w="1881"/>
          </w:tcPr>
          <w:p>
            <w:pPr>
              <w:jc w:val="center"/>
            </w:pPr>
            <w:r/>
            <w:r>
              <w:rPr>
                <w:b w:val="0"/>
                <w:color w:val="1F2937"/>
                <w:sz w:val="19"/>
                <w:rFonts w:eastAsia="宋体" w:ascii="Times New Roman" w:hAnsi="Times New Roman"/>
              </w:rPr>
              <w:t>348 亿美元（2023）</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25 倍增</w:t>
            </w:r>
          </w:p>
        </w:tc>
      </w:tr>
      <w:tr>
        <w:tc>
          <w:tcPr>
            <w:tcW w:type="dxa" w:w="1881"/>
          </w:tcPr>
          <w:p>
            <w:pPr>
              <w:jc w:val="center"/>
            </w:pPr>
            <w:r/>
            <w:r>
              <w:rPr>
                <w:b w:val="0"/>
                <w:color w:val="1F2937"/>
                <w:sz w:val="19"/>
                <w:rFonts w:eastAsia="宋体" w:ascii="Times New Roman" w:hAnsi="Times New Roman"/>
              </w:rPr>
              <w:t>电池电芯产能</w:t>
            </w:r>
          </w:p>
        </w:tc>
        <w:tc>
          <w:tcPr>
            <w:tcW w:type="dxa" w:w="1881"/>
          </w:tcPr>
          <w:p>
            <w:pPr>
              <w:jc w:val="center"/>
            </w:pPr>
            <w:r/>
            <w:r>
              <w:rPr>
                <w:b w:val="0"/>
                <w:color w:val="1F2937"/>
                <w:sz w:val="19"/>
                <w:rFonts w:eastAsia="宋体" w:ascii="Times New Roman" w:hAnsi="Times New Roman"/>
              </w:rPr>
              <w:t>0</w:t>
            </w:r>
          </w:p>
        </w:tc>
        <w:tc>
          <w:tcPr>
            <w:tcW w:type="dxa" w:w="1881"/>
          </w:tcPr>
          <w:p>
            <w:pPr>
              <w:jc w:val="center"/>
            </w:pPr>
            <w:r/>
            <w:r>
              <w:rPr>
                <w:b w:val="0"/>
                <w:color w:val="1F2937"/>
                <w:sz w:val="19"/>
                <w:rFonts w:eastAsia="宋体" w:ascii="Times New Roman" w:hAnsi="Times New Roman"/>
              </w:rPr>
              <w:t>10 GWh（HLI）</w:t>
            </w:r>
          </w:p>
        </w:tc>
        <w:tc>
          <w:tcPr>
            <w:tcW w:type="dxa" w:w="1881"/>
          </w:tcPr>
          <w:p>
            <w:pPr>
              <w:jc w:val="center"/>
            </w:pPr>
            <w:r/>
            <w:r>
              <w:rPr>
                <w:b w:val="0"/>
                <w:color w:val="1F2937"/>
                <w:sz w:val="19"/>
                <w:rFonts w:eastAsia="宋体" w:ascii="Times New Roman" w:hAnsi="Times New Roman"/>
              </w:rPr>
              <w:t>140 GWh（2030）</w:t>
            </w:r>
          </w:p>
        </w:tc>
        <w:tc>
          <w:tcPr>
            <w:tcW w:type="dxa" w:w="1881"/>
          </w:tcPr>
          <w:p>
            <w:pPr>
              <w:jc w:val="center"/>
            </w:pPr>
            <w:r/>
            <w:r>
              <w:rPr>
                <w:b w:val="0"/>
                <w:color w:val="1F2937"/>
                <w:sz w:val="19"/>
                <w:rFonts w:eastAsia="宋体" w:ascii="Times New Roman" w:hAnsi="Times New Roman"/>
              </w:rPr>
              <w:t>起步</w:t>
            </w:r>
          </w:p>
        </w:tc>
      </w:tr>
      <w:tr>
        <w:tc>
          <w:tcPr>
            <w:tcW w:type="dxa" w:w="1881"/>
          </w:tcPr>
          <w:p>
            <w:pPr>
              <w:jc w:val="center"/>
            </w:pPr>
            <w:r/>
            <w:r>
              <w:rPr>
                <w:b w:val="0"/>
                <w:color w:val="1F2937"/>
                <w:sz w:val="19"/>
                <w:rFonts w:eastAsia="宋体" w:ascii="Times New Roman" w:hAnsi="Times New Roman"/>
              </w:rPr>
              <w:t>EV 销量增速</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+186%（2024）、Q1 2025 占新车 8%</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增速极快</w:t>
            </w:r>
          </w:p>
        </w:tc>
      </w:tr>
      <w:tr>
        <w:tc>
          <w:tcPr>
            <w:tcW w:type="dxa" w:w="1881"/>
          </w:tcPr>
          <w:p>
            <w:pPr>
              <w:jc w:val="center"/>
            </w:pPr>
            <w:r/>
            <w:r>
              <w:rPr>
                <w:b w:val="0"/>
                <w:color w:val="1F2937"/>
                <w:sz w:val="19"/>
                <w:rFonts w:eastAsia="宋体" w:ascii="Times New Roman" w:hAnsi="Times New Roman"/>
              </w:rPr>
              <w:t>2 轮车电动化</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180 万辆 / 20%（2025）</w:t>
            </w:r>
          </w:p>
        </w:tc>
        <w:tc>
          <w:tcPr>
            <w:tcW w:type="dxa" w:w="1881"/>
          </w:tcPr>
          <w:p>
            <w:pPr>
              <w:jc w:val="center"/>
            </w:pPr>
            <w:r/>
            <w:r>
              <w:rPr>
                <w:b w:val="0"/>
                <w:color w:val="1F2937"/>
                <w:sz w:val="19"/>
                <w:rFonts w:eastAsia="宋体" w:ascii="Times New Roman" w:hAnsi="Times New Roman"/>
              </w:rPr>
              <w:t>未达标</w:t>
            </w:r>
          </w:p>
        </w:tc>
      </w:tr>
      <w:tr>
        <w:tc>
          <w:tcPr>
            <w:tcW w:type="dxa" w:w="1881"/>
          </w:tcPr>
          <w:p>
            <w:pPr>
              <w:jc w:val="center"/>
            </w:pPr>
            <w:r/>
            <w:r>
              <w:rPr>
                <w:b w:val="0"/>
                <w:color w:val="1F2937"/>
                <w:sz w:val="19"/>
                <w:rFonts w:eastAsia="宋体" w:ascii="Times New Roman" w:hAnsi="Times New Roman"/>
              </w:rPr>
              <w:t>镍业 LNG / 工业装 LNG</w:t>
            </w:r>
          </w:p>
        </w:tc>
        <w:tc>
          <w:tcPr>
            <w:tcW w:type="dxa" w:w="1881"/>
          </w:tcPr>
          <w:p>
            <w:pPr>
              <w:jc w:val="center"/>
            </w:pPr>
            <w:r/>
            <w:r>
              <w:rPr>
                <w:b w:val="0"/>
                <w:color w:val="1F2937"/>
                <w:sz w:val="19"/>
                <w:rFonts w:eastAsia="宋体" w:ascii="Times New Roman" w:hAnsi="Times New Roman"/>
              </w:rPr>
              <w:t>0</w:t>
            </w:r>
          </w:p>
        </w:tc>
        <w:tc>
          <w:tcPr>
            <w:tcW w:type="dxa" w:w="1881"/>
          </w:tcPr>
          <w:p>
            <w:pPr>
              <w:jc w:val="center"/>
            </w:pPr>
            <w:r/>
            <w:r>
              <w:rPr>
                <w:b w:val="0"/>
                <w:color w:val="1F2937"/>
                <w:sz w:val="19"/>
                <w:rFonts w:eastAsia="宋体" w:ascii="Times New Roman" w:hAnsi="Times New Roman"/>
              </w:rPr>
              <w:t>31 GW（自备煤）</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碳锁定重</w:t>
            </w:r>
          </w:p>
        </w:tc>
      </w:tr>
      <w:tr>
        <w:tc>
          <w:tcPr>
            <w:tcW w:type="dxa" w:w="1881"/>
          </w:tcPr>
          <w:p>
            <w:pPr>
              <w:jc w:val="center"/>
            </w:pPr>
            <w:r/>
            <w:r>
              <w:rPr>
                <w:b w:val="0"/>
                <w:color w:val="1F2937"/>
                <w:sz w:val="19"/>
                <w:rFonts w:eastAsia="宋体" w:ascii="Times New Roman" w:hAnsi="Times New Roman"/>
              </w:rPr>
              <w:t>森林损毁（Morowali）</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&gt;75,000 公顷（IUCN）</w:t>
            </w:r>
          </w:p>
        </w:tc>
        <w:tc>
          <w:tcPr>
            <w:tcW w:type="dxa" w:w="1881"/>
          </w:tcPr>
          <w:p>
            <w:pPr>
              <w:jc w:val="center"/>
            </w:pPr>
            <w:r/>
            <w:r>
              <w:rPr>
                <w:b w:val="0"/>
                <w:color w:val="1F2937"/>
                <w:sz w:val="19"/>
                <w:rFonts w:eastAsia="宋体" w:ascii="Times New Roman" w:hAnsi="Times New Roman"/>
              </w:rPr>
              <w:t>—</w:t>
            </w:r>
          </w:p>
        </w:tc>
        <w:tc>
          <w:tcPr>
            <w:tcW w:type="dxa" w:w="1881"/>
          </w:tcPr>
          <w:p>
            <w:pPr>
              <w:jc w:val="center"/>
            </w:pPr>
            <w:r/>
            <w:r>
              <w:rPr>
                <w:b w:val="0"/>
                <w:color w:val="1F2937"/>
                <w:sz w:val="19"/>
                <w:rFonts w:eastAsia="宋体" w:ascii="Times New Roman" w:hAnsi="Times New Roman"/>
              </w:rPr>
              <w:t>生态压力重</w:t>
            </w:r>
          </w:p>
        </w:tc>
      </w:tr>
    </w:tbl>
    <w:p>
      <w:pPr>
        <w:spacing w:after="120" w:line="360" w:lineRule="auto"/>
      </w:pPr>
      <w:r>
        <w:rPr>
          <w:rFonts w:ascii="Times New Roman" w:hAnsi="Times New Roman" w:eastAsia="宋体"/>
          <w:b w:val="0"/>
          <w:color w:val="4B5563"/>
          <w:sz w:val="19"/>
        </w:rPr>
        <w:t>注：电池产能目标引自 IBC“2027 年世界三大电芯生产国”目标与“2030 年 140 GWh”产业路线图；2 轮车电动化目标来自 ESDM 2020 公告（2025 年达 20% 即 180 万辆、2040 年仅售电动二轮车）。</w:t>
      </w:r>
    </w:p>
    <w:p>
      <w:pPr>
        <w:spacing w:after="120" w:line="360" w:lineRule="auto"/>
        <w:jc w:val="both"/>
      </w:pPr>
      <w:r>
        <w:rPr>
          <w:rFonts w:ascii="Times New Roman" w:hAnsi="Times New Roman" w:eastAsia="宋体"/>
          <w:b w:val="0"/>
          <w:color w:val="1F2937"/>
          <w:sz w:val="22"/>
        </w:rPr>
        <w:t>四个梯队的核心信号：“存量远超”与“25 倍增”来自原矿禁令释放的存量重组红利；“起步”与“增速极快”是电芯与 EV 端的真实增长；“未达标”与“碳锁定重”“生态压力重”是代价部分——这是后面可持续发展视角要展开的内容。</w:t>
      </w:r>
    </w:p>
    <w:p>
      <w:pPr>
        <w:spacing w:before="360" w:after="120"/>
      </w:pPr>
      <w:r>
        <w:rPr>
          <w:rFonts w:ascii="黑体" w:hAnsi="黑体" w:eastAsia="黑体"/>
          <w:b/>
          <w:color w:val="0B3A5C"/>
          <w:sz w:val="30"/>
        </w:rPr>
        <w:t>四、可持续发展视角：印尼镍产业链的代价与回应</w:t>
      </w:r>
    </w:p>
    <w:p>
      <w:pPr>
        <w:spacing w:before="360" w:after="120"/>
      </w:pPr>
      <w:r>
        <w:rPr>
          <w:rFonts w:ascii="黑体" w:hAnsi="黑体" w:eastAsia="黑体"/>
          <w:b/>
          <w:color w:val="0E7C8A"/>
          <w:sz w:val="30"/>
        </w:rPr>
        <w:t>这一节是本报告的方法论重点：把“原矿 → 电池”这条产业链的可持续代价与本土回应单独列出，是因为它已经从“是否要矿”的问题变为“怎么采、怎么炼、怎么披露、怎么循环”的问题。</w:t>
      </w:r>
    </w:p>
    <w:p>
      <w:pPr>
        <w:spacing w:before="200" w:after="80"/>
      </w:pPr>
      <w:r>
        <w:rPr>
          <w:rFonts w:ascii="黑体" w:hAnsi="黑体" w:eastAsia="黑体"/>
          <w:b/>
          <w:color w:val="0E7C8A"/>
          <w:sz w:val="25"/>
        </w:rPr>
        <w:t>4.1 碳锁定：31 GW 自备燃煤与 RKEF / HPAL 的能源结构</w:t>
      </w:r>
    </w:p>
    <w:p>
      <w:pPr>
        <w:spacing w:after="120" w:line="360" w:lineRule="auto"/>
        <w:jc w:val="both"/>
      </w:pPr>
      <w:r>
        <w:rPr>
          <w:rFonts w:ascii="Times New Roman" w:hAnsi="Times New Roman" w:eastAsia="宋体"/>
          <w:b w:val="0"/>
          <w:color w:val="1F2937"/>
          <w:sz w:val="22"/>
        </w:rPr>
        <w:t>CREA（Centre for Research on Energy and Clean Air）2025 年发布的独立报告显示：印尼镍冶炼厂自备燃煤（captive coal）装机已达 31 GW，两年内翻倍，年均净增 4.5 GW。空间分布上：IMIP 单独装机 3,360 MW（2025），IWIP 4,540 MW（2025），PT Halmahera Persada Lygend（HPL，Obi Island）单期 760 MW（2024–2025）。这意味着印尼镍冶炼的“电力账单”几乎完全压在煤上——LME 期镍价格波动与纽卡斯尔煤价波动开始联动，是过去两年才出现的新现象。</w:t>
      </w:r>
    </w:p>
    <w:p>
      <w:pPr>
        <w:spacing w:after="120" w:line="360" w:lineRule="auto"/>
        <w:jc w:val="both"/>
      </w:pPr>
      <w:r>
        <w:rPr>
          <w:rFonts w:ascii="Times New Roman" w:hAnsi="Times New Roman" w:eastAsia="宋体"/>
          <w:b w:val="0"/>
          <w:color w:val="1F2937"/>
          <w:sz w:val="22"/>
        </w:rPr>
        <w:t>更深的影响是能源转型的“反向锁定”。RUPTL 2025–2034（国家电力采购计划）目标 42.6 GW 可再生能源（其中光伏 17.1 GW），但同一时期镍冶炼的电力需求增量预计可达 10 GW 以上——若全部由自备煤满足，2025–2030 年印尼煤电装机的净增长很可能由镍冶炼单一行业拉动。ESG 角度的悖论由此产生：用电池这种“清洁产品”为载体的产业链，正在用最不清洁的能源来生产。</w:t>
      </w:r>
    </w:p>
    <w:p>
      <w:pPr>
        <w:spacing w:before="200" w:after="80"/>
      </w:pPr>
      <w:r>
        <w:rPr>
          <w:rFonts w:ascii="黑体" w:hAnsi="黑体" w:eastAsia="黑体"/>
          <w:b/>
          <w:color w:val="0E7C8A"/>
          <w:sz w:val="25"/>
        </w:rPr>
        <w:t>4.2 生态足迹：森林、土壤、海洋</w:t>
      </w:r>
    </w:p>
    <w:p>
      <w:pPr>
        <w:spacing w:after="120" w:line="360" w:lineRule="auto"/>
        <w:jc w:val="both"/>
      </w:pPr>
      <w:r>
        <w:rPr>
          <w:rFonts w:ascii="Times New Roman" w:hAnsi="Times New Roman" w:eastAsia="宋体"/>
          <w:b w:val="0"/>
          <w:color w:val="1F2937"/>
          <w:sz w:val="22"/>
        </w:rPr>
        <w:t>IUCN-NL MOSAIX 2025 年 Morowali 县报告提供了最完整的一手空间数据：Morowali 是印尼最大镍冶炼集群所在地，截至 2025 年已运营 15 座冶炼厂、合计产能 50–70 万吨镍/年，另规划 30–50 万吨/年。三组关键数字：</w:t>
      </w:r>
    </w:p>
    <w:p>
      <w:pPr>
        <w:spacing w:after="60"/>
        <w:ind w:left="397"/>
      </w:pPr>
      <w:r>
        <w:rPr>
          <w:b/>
        </w:rPr>
        <w:t xml:space="preserve">• </w:t>
      </w:r>
      <w:r>
        <w:rPr>
          <w:color w:val="1F2937"/>
          <w:sz w:val="22"/>
          <w:rFonts w:eastAsia="宋体" w:ascii="Times New Roman" w:hAnsi="Times New Roman"/>
        </w:rPr>
        <w:t>森林损毁：Morowali 现有 102 个镍矿开采区（合计 23.8 万公顷），其中 77% 与未受干扰的热带原始森林重叠；已确认采矿相关森林损毁 8,200 公顷，外加采矿外溢 4,100 公顷；总森林损毁超过 75,000 公顷。</w:t>
      </w:r>
    </w:p>
    <w:p>
      <w:pPr>
        <w:spacing w:after="60"/>
        <w:ind w:left="397"/>
      </w:pPr>
      <w:r>
        <w:rPr>
          <w:b/>
        </w:rPr>
        <w:t xml:space="preserve">• </w:t>
      </w:r>
      <w:r>
        <w:rPr>
          <w:color w:val="1F2937"/>
          <w:sz w:val="22"/>
          <w:rFonts w:eastAsia="宋体" w:ascii="Times New Roman" w:hAnsi="Times New Roman"/>
        </w:rPr>
        <w:t>土壤径流：被 IUCN 评估为“该行业最严重却最可预防”的景观影响——采矿导致大量泥沙进入河流系统，重创沿海红树林、海草与珊瑚礁；不稳定土壤带来山体滑坡与洪水的安全风险。</w:t>
      </w:r>
    </w:p>
    <w:p>
      <w:pPr>
        <w:spacing w:after="60"/>
        <w:ind w:left="397"/>
      </w:pPr>
      <w:r>
        <w:rPr>
          <w:b/>
        </w:rPr>
        <w:t xml:space="preserve">• </w:t>
      </w:r>
      <w:r>
        <w:rPr>
          <w:color w:val="1F2937"/>
          <w:sz w:val="22"/>
          <w:rFonts w:eastAsia="宋体" w:ascii="Times New Roman" w:hAnsi="Times New Roman"/>
        </w:rPr>
        <w:t>土地权：至少四分之一的矿权与事实 / 潜在社区用地重叠，是与本地社区持续紧张的根源。</w:t>
      </w:r>
    </w:p>
    <w:p>
      <w:pPr>
        <w:spacing w:after="120" w:line="360" w:lineRule="auto"/>
        <w:jc w:val="both"/>
      </w:pPr>
      <w:r>
        <w:rPr>
          <w:rFonts w:ascii="Times New Roman" w:hAnsi="Times New Roman" w:eastAsia="宋体"/>
          <w:b w:val="0"/>
          <w:color w:val="1F2937"/>
          <w:sz w:val="22"/>
        </w:rPr>
        <w:t>Obi Island（北马鲁古）与 Halmahera（北马鲁古）的情况更为严峻。IUCN 等机构记录到采矿活动污染河流供水，导致中哈马黑拉本地社区被迫依赖井水或瓶装水。山体滑坡与洪水在雨季成为可预期的致死风险。这不是抽象的环境叙事，而是有具体地名与具体数据的现场。</w:t>
      </w:r>
    </w:p>
    <w:p>
      <w:pPr>
        <w:spacing w:before="200" w:after="80"/>
      </w:pPr>
      <w:r>
        <w:rPr>
          <w:rFonts w:ascii="黑体" w:hAnsi="黑体" w:eastAsia="黑体"/>
          <w:b/>
          <w:color w:val="0E7C8A"/>
          <w:sz w:val="25"/>
        </w:rPr>
        <w:t>4.3 监管与争议：欧盟 WTO 案、IUCN 撤资事件与欧盟 CRMA</w:t>
      </w:r>
    </w:p>
    <w:p>
      <w:pPr>
        <w:spacing w:after="120" w:line="360" w:lineRule="auto"/>
        <w:jc w:val="both"/>
      </w:pPr>
      <w:r>
        <w:rPr>
          <w:rFonts w:ascii="Times New Roman" w:hAnsi="Times New Roman" w:eastAsia="宋体"/>
          <w:b w:val="0"/>
          <w:color w:val="1F2937"/>
          <w:sz w:val="22"/>
        </w:rPr>
        <w:t>印尼镍产业的可持续发展压力在国际制度层面已经形成具体争议。欧盟于 2019 年就原矿出口禁令诉诸 WTO；2022 年 WTO 裁定禁令违反 GATS 与 TRIMs。印尼选择不上诉执行，部分原因是裁决未实质改变其政策走向——这反映了“资源主权”与发展权的话语博弈仍在进行。</w:t>
      </w:r>
    </w:p>
    <w:p>
      <w:pPr>
        <w:spacing w:after="120" w:line="360" w:lineRule="auto"/>
        <w:jc w:val="both"/>
      </w:pPr>
      <w:r>
        <w:rPr>
          <w:rFonts w:ascii="Times New Roman" w:hAnsi="Times New Roman" w:eastAsia="宋体"/>
          <w:b w:val="0"/>
          <w:color w:val="1F2937"/>
          <w:sz w:val="22"/>
        </w:rPr>
        <w:t>更具实质性的事件是 2023 年初 BASF（德）与 Eramet（法）宣布取消 26 亿美元印尼镍加工项目，理由是 NGO 提出的“北马鲁古森林砍伐”风险——这是欧洲主要工业资本首次因 ESG 考量从印尼镍链实际撤资。同期，欧盟《关键原材料法》（CRMA）于 2024 年生效，要求 2030 年欧盟本土关键原材料开采满足 10%、加工 40%、回收 25% 的目标，并设立“战略项目”清单——印尼镍虽然储量第一，但因环境与劳工记录未进入首批战略清单。</w:t>
      </w:r>
    </w:p>
    <w:p>
      <w:pPr>
        <w:spacing w:after="120" w:line="360" w:lineRule="auto"/>
        <w:jc w:val="both"/>
      </w:pPr>
      <w:r>
        <w:rPr>
          <w:rFonts w:ascii="Times New Roman" w:hAnsi="Times New Roman" w:eastAsia="宋体"/>
          <w:b w:val="0"/>
          <w:color w:val="1F2937"/>
          <w:sz w:val="22"/>
        </w:rPr>
        <w:t>美国侧的信号同样清晰：《通胀削减法案》（IRA, 2022）规定若矿物加工链中超过 25% 由中国公司参与，相关车辆即丧失补贴资格——这意味着印尼大量中资参与的电池镍直接被排除在北美补贴体系之外。“东盟 + 中国 + 印尼 + 镍”的产能组合与“北美 + 欧盟 + IRA / CRMA + ESG 尽调”的合规体系正在形成两条平行赛道，对企业的供应链规划具有结构含义。</w:t>
      </w:r>
    </w:p>
    <w:p>
      <w:pPr>
        <w:spacing w:before="200" w:after="80"/>
      </w:pPr>
      <w:r>
        <w:rPr>
          <w:rFonts w:ascii="黑体" w:hAnsi="黑体" w:eastAsia="黑体"/>
          <w:b/>
          <w:color w:val="0E7C8A"/>
          <w:sz w:val="25"/>
        </w:rPr>
        <w:t>4.4 印尼的本土回应：JETP、TKBI v2 与 Danantara</w:t>
      </w:r>
    </w:p>
    <w:p>
      <w:pPr>
        <w:spacing w:after="120" w:line="360" w:lineRule="auto"/>
        <w:jc w:val="both"/>
      </w:pPr>
      <w:r>
        <w:rPr>
          <w:rFonts w:ascii="Times New Roman" w:hAnsi="Times New Roman" w:eastAsia="宋体"/>
          <w:b w:val="0"/>
          <w:color w:val="1F2937"/>
          <w:sz w:val="22"/>
        </w:rPr>
        <w:t>面对上述压力，印尼自 2022 年起密集推出本土治理工具，已从“是否要矿”的问题切换到“怎么治理”。</w:t>
      </w:r>
    </w:p>
    <w:p>
      <w:pPr>
        <w:spacing w:after="60"/>
        <w:ind w:left="397"/>
      </w:pPr>
      <w:r>
        <w:rPr>
          <w:b/>
        </w:rPr>
        <w:t xml:space="preserve">• </w:t>
      </w:r>
      <w:r>
        <w:rPr>
          <w:color w:val="1F2937"/>
          <w:sz w:val="22"/>
          <w:rFonts w:eastAsia="宋体" w:ascii="Times New Roman" w:hAnsi="Times New Roman"/>
        </w:rPr>
        <w:t>JETP 公正能源转型伙伴计划：2022 年 G7 与印尼启动，承诺 2030 年印尼可再生能源占比 34%、峰值排放 290 GW、累计融资 215 亿美元（公共 76 亿 + 私人 139 亿）；2023 年公布综合投资与政策计划（CIPP），落地为煤电退役加速、镍冶炼绿色电力采购、电网扩容等具体项目。</w:t>
      </w:r>
    </w:p>
    <w:p>
      <w:pPr>
        <w:spacing w:after="60"/>
        <w:ind w:left="397"/>
      </w:pPr>
      <w:r>
        <w:rPr>
          <w:b/>
        </w:rPr>
        <w:t xml:space="preserve">• </w:t>
      </w:r>
      <w:r>
        <w:rPr>
          <w:color w:val="1F2937"/>
          <w:sz w:val="22"/>
          <w:rFonts w:eastAsia="宋体" w:ascii="Times New Roman" w:hAnsi="Times New Roman"/>
        </w:rPr>
        <w:t>印尼可持续金融分类法 v2（TKBI）：金融服务管理局（OJK）于 2024 年发布生效，将镍下游产业链中的 HPAL、电池正极材料、电芯组装明确纳入“绿色”或“琥珀”分类，要求发行人披露全链路排放与社区影响。</w:t>
      </w:r>
    </w:p>
    <w:p>
      <w:pPr>
        <w:spacing w:after="60"/>
        <w:ind w:left="397"/>
      </w:pPr>
      <w:r>
        <w:rPr>
          <w:b/>
        </w:rPr>
        <w:t xml:space="preserve">• </w:t>
      </w:r>
      <w:r>
        <w:rPr>
          <w:color w:val="1F2937"/>
          <w:sz w:val="22"/>
          <w:rFonts w:eastAsia="宋体" w:ascii="Times New Roman" w:hAnsi="Times New Roman"/>
        </w:rPr>
        <w:t>Danantara Indonesia 主权基金：2024 年 10 月由普拉博沃政府成立，整合原有国家投资机构与部分国企股份，资产规模约 9,000 亿美元（覆盖油气、矿产、棕榈油、金融等），负责协调下游化战略与 ESG 准则。</w:t>
      </w:r>
    </w:p>
    <w:p>
      <w:pPr>
        <w:spacing w:after="60"/>
        <w:ind w:left="397"/>
      </w:pPr>
      <w:r>
        <w:rPr>
          <w:b/>
        </w:rPr>
        <w:t xml:space="preserve">• </w:t>
      </w:r>
      <w:r>
        <w:rPr>
          <w:color w:val="1F2937"/>
          <w:sz w:val="22"/>
          <w:rFonts w:eastAsia="宋体" w:ascii="Times New Roman" w:hAnsi="Times New Roman"/>
        </w:rPr>
        <w:t>欧盟 — 印尼 CEPA：2025 年 7 月 13 日签署，纳入“关键原材料合作”专章，对印尼镍的可持续标准、原住民权利、劳工权利做出对欧方有约束力的承诺。</w:t>
      </w:r>
    </w:p>
    <w:p>
      <w:pPr>
        <w:spacing w:after="120" w:line="360" w:lineRule="auto"/>
        <w:jc w:val="both"/>
      </w:pPr>
      <w:r>
        <w:rPr>
          <w:rFonts w:ascii="Times New Roman" w:hAnsi="Times New Roman" w:eastAsia="宋体"/>
          <w:b w:val="0"/>
          <w:color w:val="1F2937"/>
          <w:sz w:val="22"/>
        </w:rPr>
        <w:t>这些工具的实际效力需要时间检验。但它们的出现意味着印尼镍产业的“下游化”已经进入第二轮——从物理层的产业链建设，转向制度层的可持续治理。这对全球企业是机会也是约束：可以参与印尼电池与 EV 链，但需要为可持续合规付出更高成本。</w:t>
      </w:r>
    </w:p>
    <w:p>
      <w:pPr>
        <w:spacing w:before="200" w:after="80"/>
      </w:pPr>
      <w:r>
        <w:rPr>
          <w:rFonts w:ascii="黑体" w:hAnsi="黑体" w:eastAsia="黑体"/>
          <w:b/>
          <w:color w:val="0E7C8A"/>
          <w:sz w:val="25"/>
        </w:rPr>
        <w:t>4.5 循环与回收：CATL DRT 与印尼的 2 万吨/年处理能力</w:t>
      </w:r>
    </w:p>
    <w:p>
      <w:pPr>
        <w:spacing w:after="120" w:line="360" w:lineRule="auto"/>
        <w:jc w:val="both"/>
      </w:pPr>
      <w:r>
        <w:rPr>
          <w:rFonts w:ascii="Times New Roman" w:hAnsi="Times New Roman" w:eastAsia="宋体"/>
          <w:b w:val="0"/>
          <w:color w:val="1F2937"/>
          <w:sz w:val="22"/>
        </w:rPr>
        <w:t>循环回收是印尼镍链中相对积极的环节。龙项目规划中包含 2 万吨/年废旧电池处理能力，金属回收率高于 95%（CATL 邦普 DRT 工艺）；ESDM 2024 年发布的下游路线图也将回收作为 HPAL 之外的“绿色指标”主推。印尼全国范围内有 9 个电池级中间品设施，其中 4 个运营、3 个在建、2 个规划——回收设施分布与中间品产能大致同构。</w:t>
      </w:r>
    </w:p>
    <w:p>
      <w:pPr>
        <w:spacing w:after="120" w:line="360" w:lineRule="auto"/>
        <w:jc w:val="both"/>
      </w:pPr>
      <w:r>
        <w:rPr>
          <w:rFonts w:ascii="Times New Roman" w:hAnsi="Times New Roman" w:eastAsia="宋体"/>
          <w:b w:val="0"/>
          <w:color w:val="1F2937"/>
          <w:sz w:val="22"/>
        </w:rPr>
        <w:t>但回收的规模仍处于早期。当前全球动力电池回收率不足 5%，印尼 2030 年预计废旧电池量将超过 30 GWh，对应回收市场规模约 40 亿美元；ESDM 路线图目标 2030 年回收率达 20%——这与欧盟 CRMA 25% 的目标仍有差距。ESG 维度的关键不是回收数字本身，而是回收网络是否覆盖了火法 + HPAL 双重路径——目前的回收主要针对 NCM / NCA 化学体系，对 LFP（磷酸铁锂）的覆盖仍较弱。</w:t>
      </w:r>
    </w:p>
    <w:p>
      <w:pPr>
        <w:spacing w:before="200" w:after="80"/>
      </w:pPr>
      <w:r>
        <w:rPr>
          <w:rFonts w:ascii="黑体" w:hAnsi="黑体" w:eastAsia="黑体"/>
          <w:b/>
          <w:color w:val="0E7C8A"/>
          <w:sz w:val="25"/>
        </w:rPr>
        <w:t>4.6 一组需要记录的“数字 — 现场”对照</w:t>
      </w:r>
    </w:p>
    <w:tbl>
      <w:tblPr>
        <w:tblStyle w:val="LightGrid-Accent1"/>
        <w:tblW w:type="auto" w:w="0"/>
        <w:tblLook w:firstColumn="1" w:firstRow="1" w:lastColumn="0" w:lastRow="0" w:noHBand="0" w:noVBand="1" w:val="04A0"/>
      </w:tblPr>
      <w:tblGrid>
        <w:gridCol w:w="3135"/>
        <w:gridCol w:w="3135"/>
        <w:gridCol w:w="3135"/>
      </w:tblGrid>
      <w:tr>
        <w:tc>
          <w:tcPr>
            <w:tcW w:type="dxa" w:w="3135"/>
          </w:tcPr>
          <w:p>
            <w:pPr>
              <w:jc w:val="center"/>
            </w:pPr>
            <w:r/>
            <w:r>
              <w:rPr>
                <w:b/>
                <w:color w:val="0B3A5C"/>
                <w:sz w:val="20"/>
                <w:rFonts w:eastAsia="黑体" w:ascii="Times New Roman" w:hAnsi="Times New Roman"/>
              </w:rPr>
              <w:t>ESG 维度</w:t>
            </w:r>
          </w:p>
        </w:tc>
        <w:tc>
          <w:tcPr>
            <w:tcW w:type="dxa" w:w="3135"/>
          </w:tcPr>
          <w:p>
            <w:pPr>
              <w:jc w:val="center"/>
            </w:pPr>
            <w:r/>
            <w:r>
              <w:rPr>
                <w:b/>
                <w:color w:val="0B3A5C"/>
                <w:sz w:val="20"/>
                <w:rFonts w:eastAsia="黑体" w:ascii="Times New Roman" w:hAnsi="Times New Roman"/>
              </w:rPr>
              <w:t>宏观数字</w:t>
            </w:r>
          </w:p>
        </w:tc>
        <w:tc>
          <w:tcPr>
            <w:tcW w:type="dxa" w:w="3135"/>
          </w:tcPr>
          <w:p>
            <w:pPr>
              <w:jc w:val="center"/>
            </w:pPr>
            <w:r/>
            <w:r>
              <w:rPr>
                <w:b/>
                <w:color w:val="0B3A5C"/>
                <w:sz w:val="20"/>
                <w:rFonts w:eastAsia="黑体" w:ascii="Times New Roman" w:hAnsi="Times New Roman"/>
              </w:rPr>
              <w:t>现场代价</w:t>
            </w:r>
          </w:p>
        </w:tc>
      </w:tr>
      <w:tr>
        <w:tc>
          <w:tcPr>
            <w:tcW w:type="dxa" w:w="3135"/>
          </w:tcPr>
          <w:p>
            <w:pPr>
              <w:jc w:val="center"/>
            </w:pPr>
            <w:r/>
            <w:r>
              <w:rPr>
                <w:b w:val="0"/>
                <w:color w:val="1F2937"/>
                <w:sz w:val="19"/>
                <w:rFonts w:eastAsia="宋体" w:ascii="Times New Roman" w:hAnsi="Times New Roman"/>
              </w:rPr>
              <w:t>碳排放</w:t>
            </w:r>
          </w:p>
        </w:tc>
        <w:tc>
          <w:tcPr>
            <w:tcW w:type="dxa" w:w="3135"/>
          </w:tcPr>
          <w:p>
            <w:pPr>
              <w:jc w:val="center"/>
            </w:pPr>
            <w:r/>
            <w:r>
              <w:rPr>
                <w:b w:val="0"/>
                <w:color w:val="1F2937"/>
                <w:sz w:val="19"/>
                <w:rFonts w:eastAsia="宋体" w:ascii="Times New Roman" w:hAnsi="Times New Roman"/>
              </w:rPr>
              <w:t>31 GW 自备燃煤、IMIP 单园 3,360 MW、IWIP 4,540 MW</w:t>
            </w:r>
          </w:p>
        </w:tc>
        <w:tc>
          <w:tcPr>
            <w:tcW w:type="dxa" w:w="3135"/>
          </w:tcPr>
          <w:p>
            <w:pPr>
              <w:jc w:val="center"/>
            </w:pPr>
            <w:r/>
            <w:r>
              <w:rPr>
                <w:b w:val="0"/>
                <w:color w:val="1F2937"/>
                <w:sz w:val="19"/>
                <w:rFonts w:eastAsia="宋体" w:ascii="Times New Roman" w:hAnsi="Times New Roman"/>
              </w:rPr>
              <w:t>为电池产品锁定了 15+ 年的煤电资产</w:t>
            </w:r>
          </w:p>
        </w:tc>
      </w:tr>
      <w:tr>
        <w:tc>
          <w:tcPr>
            <w:tcW w:type="dxa" w:w="3135"/>
          </w:tcPr>
          <w:p>
            <w:pPr>
              <w:jc w:val="center"/>
            </w:pPr>
            <w:r/>
            <w:r>
              <w:rPr>
                <w:b w:val="0"/>
                <w:color w:val="1F2937"/>
                <w:sz w:val="19"/>
                <w:rFonts w:eastAsia="宋体" w:ascii="Times New Roman" w:hAnsi="Times New Roman"/>
              </w:rPr>
              <w:t>森林</w:t>
            </w:r>
          </w:p>
        </w:tc>
        <w:tc>
          <w:tcPr>
            <w:tcW w:type="dxa" w:w="3135"/>
          </w:tcPr>
          <w:p>
            <w:pPr>
              <w:jc w:val="center"/>
            </w:pPr>
            <w:r/>
            <w:r>
              <w:rPr>
                <w:b w:val="0"/>
                <w:color w:val="1F2937"/>
                <w:sz w:val="19"/>
                <w:rFonts w:eastAsia="宋体" w:ascii="Times New Roman" w:hAnsi="Times New Roman"/>
              </w:rPr>
              <w:t>Morowali 77% 与原始林重叠、&gt;75,000 公顷已损毁</w:t>
            </w:r>
          </w:p>
        </w:tc>
        <w:tc>
          <w:tcPr>
            <w:tcW w:type="dxa" w:w="3135"/>
          </w:tcPr>
          <w:p>
            <w:pPr>
              <w:jc w:val="center"/>
            </w:pPr>
            <w:r/>
            <w:r>
              <w:rPr>
                <w:b w:val="0"/>
                <w:color w:val="1F2937"/>
                <w:sz w:val="19"/>
                <w:rFonts w:eastAsia="宋体" w:ascii="Times New Roman" w:hAnsi="Times New Roman"/>
              </w:rPr>
              <w:t>苏拉威西特有物种栖息地永久改变</w:t>
            </w:r>
          </w:p>
        </w:tc>
      </w:tr>
      <w:tr>
        <w:tc>
          <w:tcPr>
            <w:tcW w:type="dxa" w:w="3135"/>
          </w:tcPr>
          <w:p>
            <w:pPr>
              <w:jc w:val="center"/>
            </w:pPr>
            <w:r/>
            <w:r>
              <w:rPr>
                <w:b w:val="0"/>
                <w:color w:val="1F2937"/>
                <w:sz w:val="19"/>
                <w:rFonts w:eastAsia="宋体" w:ascii="Times New Roman" w:hAnsi="Times New Roman"/>
              </w:rPr>
              <w:t>水资源</w:t>
            </w:r>
          </w:p>
        </w:tc>
        <w:tc>
          <w:tcPr>
            <w:tcW w:type="dxa" w:w="3135"/>
          </w:tcPr>
          <w:p>
            <w:pPr>
              <w:jc w:val="center"/>
            </w:pPr>
            <w:r/>
            <w:r>
              <w:rPr>
                <w:b w:val="0"/>
                <w:color w:val="1F2937"/>
                <w:sz w:val="19"/>
                <w:rFonts w:eastAsia="宋体" w:ascii="Times New Roman" w:hAnsi="Times New Roman"/>
              </w:rPr>
              <w:t>—</w:t>
            </w:r>
          </w:p>
        </w:tc>
        <w:tc>
          <w:tcPr>
            <w:tcW w:type="dxa" w:w="3135"/>
          </w:tcPr>
          <w:p>
            <w:pPr>
              <w:jc w:val="center"/>
            </w:pPr>
            <w:r/>
            <w:r>
              <w:rPr>
                <w:b w:val="0"/>
                <w:color w:val="1F2937"/>
                <w:sz w:val="19"/>
                <w:rFonts w:eastAsia="宋体" w:ascii="Times New Roman" w:hAnsi="Times New Roman"/>
              </w:rPr>
              <w:t>Obi / Halmahera 多地社区改用井水 / 瓶装水</w:t>
            </w:r>
          </w:p>
        </w:tc>
      </w:tr>
      <w:tr>
        <w:tc>
          <w:tcPr>
            <w:tcW w:type="dxa" w:w="3135"/>
          </w:tcPr>
          <w:p>
            <w:pPr>
              <w:jc w:val="center"/>
            </w:pPr>
            <w:r/>
            <w:r>
              <w:rPr>
                <w:b w:val="0"/>
                <w:color w:val="1F2937"/>
                <w:sz w:val="19"/>
                <w:rFonts w:eastAsia="宋体" w:ascii="Times New Roman" w:hAnsi="Times New Roman"/>
              </w:rPr>
              <w:t>社区</w:t>
            </w:r>
          </w:p>
        </w:tc>
        <w:tc>
          <w:tcPr>
            <w:tcW w:type="dxa" w:w="3135"/>
          </w:tcPr>
          <w:p>
            <w:pPr>
              <w:jc w:val="center"/>
            </w:pPr>
            <w:r/>
            <w:r>
              <w:rPr>
                <w:b w:val="0"/>
                <w:color w:val="1F2937"/>
                <w:sz w:val="19"/>
                <w:rFonts w:eastAsia="宋体" w:ascii="Times New Roman" w:hAnsi="Times New Roman"/>
              </w:rPr>
              <w:t>四分之一矿权与社区土地重叠</w:t>
            </w:r>
          </w:p>
        </w:tc>
        <w:tc>
          <w:tcPr>
            <w:tcW w:type="dxa" w:w="3135"/>
          </w:tcPr>
          <w:p>
            <w:pPr>
              <w:jc w:val="center"/>
            </w:pPr>
            <w:r/>
            <w:r>
              <w:rPr>
                <w:b w:val="0"/>
                <w:color w:val="1F2937"/>
                <w:sz w:val="19"/>
                <w:rFonts w:eastAsia="宋体" w:ascii="Times New Roman" w:hAnsi="Times New Roman"/>
              </w:rPr>
              <w:t>Halmahera 雨季山体滑坡 / 洪水的可预期伤亡</w:t>
            </w:r>
          </w:p>
        </w:tc>
      </w:tr>
      <w:tr>
        <w:tc>
          <w:tcPr>
            <w:tcW w:type="dxa" w:w="3135"/>
          </w:tcPr>
          <w:p>
            <w:pPr>
              <w:jc w:val="center"/>
            </w:pPr>
            <w:r/>
            <w:r>
              <w:rPr>
                <w:b w:val="0"/>
                <w:color w:val="1F2937"/>
                <w:sz w:val="19"/>
                <w:rFonts w:eastAsia="宋体" w:ascii="Times New Roman" w:hAnsi="Times New Roman"/>
              </w:rPr>
              <w:t>国际贸易</w:t>
            </w:r>
          </w:p>
        </w:tc>
        <w:tc>
          <w:tcPr>
            <w:tcW w:type="dxa" w:w="3135"/>
          </w:tcPr>
          <w:p>
            <w:pPr>
              <w:jc w:val="center"/>
            </w:pPr>
            <w:r/>
            <w:r>
              <w:rPr>
                <w:b w:val="0"/>
                <w:color w:val="1F2937"/>
                <w:sz w:val="19"/>
                <w:rFonts w:eastAsia="宋体" w:ascii="Times New Roman" w:hAnsi="Times New Roman"/>
              </w:rPr>
              <w:t>欧盟 WTO 案、欧盟 CRMA 战略项目清单</w:t>
            </w:r>
          </w:p>
        </w:tc>
        <w:tc>
          <w:tcPr>
            <w:tcW w:type="dxa" w:w="3135"/>
          </w:tcPr>
          <w:p>
            <w:pPr>
              <w:jc w:val="center"/>
            </w:pPr>
            <w:r/>
            <w:r>
              <w:rPr>
                <w:b w:val="0"/>
                <w:color w:val="1F2937"/>
                <w:sz w:val="19"/>
                <w:rFonts w:eastAsia="宋体" w:ascii="Times New Roman" w:hAnsi="Times New Roman"/>
              </w:rPr>
              <w:t>BASF-Eramet 26 亿美元项目撤资（2023）</w:t>
            </w:r>
          </w:p>
        </w:tc>
      </w:tr>
      <w:tr>
        <w:tc>
          <w:tcPr>
            <w:tcW w:type="dxa" w:w="3135"/>
          </w:tcPr>
          <w:p>
            <w:pPr>
              <w:jc w:val="center"/>
            </w:pPr>
            <w:r/>
            <w:r>
              <w:rPr>
                <w:b w:val="0"/>
                <w:color w:val="1F2937"/>
                <w:sz w:val="19"/>
                <w:rFonts w:eastAsia="宋体" w:ascii="Times New Roman" w:hAnsi="Times New Roman"/>
              </w:rPr>
              <w:t>国际补贴</w:t>
            </w:r>
          </w:p>
        </w:tc>
        <w:tc>
          <w:tcPr>
            <w:tcW w:type="dxa" w:w="3135"/>
          </w:tcPr>
          <w:p>
            <w:pPr>
              <w:jc w:val="center"/>
            </w:pPr>
            <w:r/>
            <w:r>
              <w:rPr>
                <w:b w:val="0"/>
                <w:color w:val="1F2937"/>
                <w:sz w:val="19"/>
                <w:rFonts w:eastAsia="宋体" w:ascii="Times New Roman" w:hAnsi="Times New Roman"/>
              </w:rPr>
              <w:t>美国 IRA 25% 中资比例门槛</w:t>
            </w:r>
          </w:p>
        </w:tc>
        <w:tc>
          <w:tcPr>
            <w:tcW w:type="dxa" w:w="3135"/>
          </w:tcPr>
          <w:p>
            <w:pPr>
              <w:jc w:val="center"/>
            </w:pPr>
            <w:r/>
            <w:r>
              <w:rPr>
                <w:b w:val="0"/>
                <w:color w:val="1F2937"/>
                <w:sz w:val="19"/>
                <w:rFonts w:eastAsia="宋体" w:ascii="Times New Roman" w:hAnsi="Times New Roman"/>
              </w:rPr>
              <w:t>印尼中资电池中大部分失去北美补贴资格</w:t>
            </w:r>
          </w:p>
        </w:tc>
      </w:tr>
    </w:tbl>
    <w:p>
      <w:pPr>
        <w:spacing w:after="120" w:line="360" w:lineRule="auto"/>
      </w:pPr>
      <w:r>
        <w:rPr>
          <w:rFonts w:ascii="Times New Roman" w:hAnsi="Times New Roman" w:eastAsia="宋体"/>
          <w:b w:val="0"/>
          <w:color w:val="4B5563"/>
          <w:sz w:val="19"/>
        </w:rPr>
        <w:t>注：CREA、IUCN-MOSAIX、ESDM、欧盟 CRMA、美国 IRA 综合。</w:t>
      </w:r>
    </w:p>
    <w:p>
      <w:pPr>
        <w:spacing w:before="360" w:after="120"/>
      </w:pPr>
      <w:r>
        <w:rPr>
          <w:rFonts w:ascii="黑体" w:hAnsi="黑体" w:eastAsia="黑体"/>
          <w:b/>
          <w:color w:val="0B3A5C"/>
          <w:sz w:val="30"/>
        </w:rPr>
        <w:t>五、结论与对中企的三条硬线索</w:t>
      </w:r>
    </w:p>
    <w:p>
      <w:pPr>
        <w:spacing w:after="120" w:line="360" w:lineRule="auto"/>
        <w:jc w:val="both"/>
      </w:pPr>
      <w:r>
        <w:rPr>
          <w:rFonts w:ascii="Times New Roman" w:hAnsi="Times New Roman" w:eastAsia="宋体"/>
          <w:b w:val="0"/>
          <w:color w:val="1F2937"/>
          <w:sz w:val="22"/>
        </w:rPr>
        <w:t>从数据而非口号看，2020–2025 年印尼镍产业完成了“从原矿出口到价值链攀升”的物理层跨越：矿产量占全球近 60%、冶炼厂从 2 座扩至 44+ 座、电池电芯产能从 0 到 10 GWh 运营 + 22 GWh 在建。但可持续发展代价同样是结构性的：31 GW 自备燃煤的碳锁定、&gt;75,000 公顷森林损毁、欧盟 CRMA 与美国 IRA 形成的“两条平行赛道”。印尼本土已通过 JETP、TKBI v2、Danantara、CEPA 等工具进入第二轮制度层治理——这对全球企业是机会也是约束。</w:t>
      </w:r>
    </w:p>
    <w:p>
      <w:pPr>
        <w:spacing w:after="120" w:line="360" w:lineRule="auto"/>
        <w:jc w:val="both"/>
      </w:pPr>
      <w:r>
        <w:rPr>
          <w:rFonts w:ascii="Times New Roman" w:hAnsi="Times New Roman" w:eastAsia="宋体"/>
          <w:b w:val="0"/>
          <w:color w:val="1F2937"/>
          <w:sz w:val="22"/>
        </w:rPr>
        <w:t>对中资 EV 电池链 / 矿产链企业而言，三条硬线索值得跟踪：</w:t>
      </w:r>
    </w:p>
    <w:p>
      <w:pPr>
        <w:spacing w:after="60"/>
        <w:ind w:left="397"/>
      </w:pPr>
      <w:r>
        <w:rPr>
          <w:b/>
        </w:rPr>
        <w:t xml:space="preserve">1. </w:t>
      </w:r>
      <w:r>
        <w:rPr>
          <w:color w:val="1F2937"/>
          <w:sz w:val="22"/>
          <w:rFonts w:eastAsia="宋体" w:ascii="Times New Roman" w:hAnsi="Times New Roman"/>
        </w:rPr>
        <w:t>龙项目路径：59 亿美元、6.9 → 15 GWh、电芯 + HPAL + 回收三合一是印尼最大单体项目。CATL + IBC + ANTAM 的三方结构是中资参与印尼下游化的“标准模板”——参与窗口已从最初的开放合资收紧为定向合资。</w:t>
      </w:r>
    </w:p>
    <w:p>
      <w:pPr>
        <w:spacing w:after="60"/>
        <w:ind w:left="397"/>
      </w:pPr>
      <w:r>
        <w:rPr>
          <w:b/>
        </w:rPr>
        <w:t xml:space="preserve">2. </w:t>
      </w:r>
      <w:r>
        <w:rPr>
          <w:color w:val="1F2937"/>
          <w:sz w:val="22"/>
          <w:rFonts w:eastAsia="宋体" w:ascii="Times New Roman" w:hAnsi="Times New Roman"/>
        </w:rPr>
        <w:t>绿色电力的合规成本：JETP 计划要求镍冶炼到 2030 年至少 30% 电力来自可再生能源；TKBI v2 要求披露全链路排放。提前布局绿电 PPA、自建光伏、参与电网绿电项目的企业将在 2027 年后享受显著合规优势。</w:t>
      </w:r>
    </w:p>
    <w:p>
      <w:pPr>
        <w:spacing w:after="60"/>
        <w:ind w:left="397"/>
      </w:pPr>
      <w:r>
        <w:rPr>
          <w:b/>
        </w:rPr>
        <w:t xml:space="preserve">3. </w:t>
      </w:r>
      <w:r>
        <w:rPr>
          <w:color w:val="1F2937"/>
          <w:sz w:val="22"/>
          <w:rFonts w:eastAsia="宋体" w:ascii="Times New Roman" w:hAnsi="Times New Roman"/>
        </w:rPr>
        <w:t>IRA 的“硬下料”：北美 IRA 25% 中资比例门槛意味着印尼中资电池中绝大部分失去北美补贴资格。规避路径有两条：减少中资股权比例（如华友、格林美在欧美设立合资）、或将中资环节限定在非 IRA 受影响的电池材料（如铁镍、电池回收）。</w:t>
      </w:r>
    </w:p>
    <w:p>
      <w:pPr>
        <w:spacing w:after="120" w:line="360" w:lineRule="auto"/>
        <w:jc w:val="both"/>
      </w:pPr>
      <w:r>
        <w:rPr>
          <w:rFonts w:ascii="Times New Roman" w:hAnsi="Times New Roman" w:eastAsia="宋体"/>
          <w:b w:val="0"/>
          <w:color w:val="1F2937"/>
          <w:sz w:val="22"/>
        </w:rPr>
        <w:t>本研究的结论与本平台沙特文、孟加拉文方法论一致：单一口径、单一时点的国别数据足以误导判断。印尼镍案例进一步表明，对一条跨越矿产、冶炼、电芯、回收、政策五层的产业链，必须建立“占比（产量 + 储量）—轨迹（产能演进）—KPI（多梯队）—可持续（环境 + 监管 + 循环）”的多层字段体系，这正是 corpusdi 区域国别数据库以可持续发展 / 产业投资 / 民情舆情 / ESG 与合规四模块组织印尼数据的依据。</w:t>
      </w:r>
    </w:p>
    <w:p>
      <w:pPr>
        <w:pBdr>
          <w:bottom w:val="single" w:sz="8" w:space="1" w:color="0b3a5c"/>
        </w:pBdr>
      </w:pPr>
    </w:p>
    <w:p>
      <w:pPr>
        <w:spacing w:before="360" w:after="120"/>
      </w:pPr>
      <w:r>
        <w:rPr>
          <w:rFonts w:ascii="黑体" w:hAnsi="黑体" w:eastAsia="黑体"/>
          <w:b/>
          <w:color w:val="0B3A5C"/>
          <w:sz w:val="30"/>
        </w:rPr>
        <w:t>主要数据来源</w:t>
      </w:r>
    </w:p>
    <w:p>
      <w:pPr>
        <w:spacing w:after="60"/>
        <w:ind w:left="397"/>
      </w:pPr>
      <w:r>
        <w:rPr>
          <w:b/>
        </w:rPr>
        <w:t xml:space="preserve">1. </w:t>
      </w:r>
      <w:r>
        <w:rPr>
          <w:color w:val="1F2937"/>
          <w:sz w:val="22"/>
          <w:rFonts w:eastAsia="宋体" w:ascii="Times New Roman" w:hAnsi="Times New Roman"/>
        </w:rPr>
        <w:t>USGS Mineral Commodity Summaries 2024（Nickel）：印尼储量 55 亿金属吨占全球 42.3%、产量 220 万吨占全球 59.5%。https://pubs.usgs.gov/periodicals/mcs2024/mcs2024-nickel.pdf （检索日期：2026-09-17）</w:t>
      </w:r>
    </w:p>
    <w:p>
      <w:pPr>
        <w:spacing w:after="60"/>
        <w:ind w:left="397"/>
      </w:pPr>
      <w:r>
        <w:rPr>
          <w:b/>
        </w:rPr>
        <w:t xml:space="preserve">2. </w:t>
      </w:r>
      <w:r>
        <w:rPr>
          <w:color w:val="1F2937"/>
          <w:sz w:val="22"/>
          <w:rFonts w:eastAsia="宋体" w:ascii="Times New Roman" w:hAnsi="Times New Roman"/>
        </w:rPr>
        <w:t>印尼能源与矿产资源部（ESDM）：矿种验证 247 个点、湿矿总资源 390 亿吨、品位 &gt;1.7% 储量 17.6 亿吨预计 2031 年耗尽、品位 &gt;1.5% 储量 27.5 亿吨预计 2036 年耗尽、低品位褐铁矿 18.1 亿吨预计可至 2055 年；HPM / HMA 月度公告。https://www.esdm.go.id （检索日期：2026-09-17）</w:t>
      </w:r>
    </w:p>
    <w:p>
      <w:pPr>
        <w:spacing w:after="60"/>
        <w:ind w:left="397"/>
      </w:pPr>
      <w:r>
        <w:rPr>
          <w:b/>
        </w:rPr>
        <w:t xml:space="preserve">3. </w:t>
      </w:r>
      <w:r>
        <w:rPr>
          <w:color w:val="1F2937"/>
          <w:sz w:val="22"/>
          <w:rFonts w:eastAsia="宋体" w:ascii="Times New Roman" w:hAnsi="Times New Roman"/>
        </w:rPr>
        <w:t>宁德时代（CBL + ANTAM + IBC）龙项目公告（2025 年 7 月）：59 亿美元、6.9 GWh → 15 GWh、远期年镍 14.2 万吨、正极 3 万吨、回收 2 万吨、8000 + 35000 岗位。https://hk.prnasia.com/story/495311-2.shtml （检索日期：2026-09-17）</w:t>
      </w:r>
    </w:p>
    <w:p>
      <w:pPr>
        <w:spacing w:after="60"/>
        <w:ind w:left="397"/>
      </w:pPr>
      <w:r>
        <w:rPr>
          <w:b/>
        </w:rPr>
        <w:t xml:space="preserve">4. </w:t>
      </w:r>
      <w:r>
        <w:rPr>
          <w:color w:val="1F2937"/>
          <w:sz w:val="22"/>
          <w:rFonts w:eastAsia="宋体" w:ascii="Times New Roman" w:hAnsi="Times New Roman"/>
        </w:rPr>
        <w:t>印尼电池公司（IBC）：HLI Green Power (10 GWh, 2024) + 龙项目一期完工 (2025-12) + 2030 年 140 GWh 路线图。https://www.ibc.co.id （检索日期：2026-09-17）</w:t>
      </w:r>
    </w:p>
    <w:p>
      <w:pPr>
        <w:spacing w:after="60"/>
        <w:ind w:left="397"/>
      </w:pPr>
      <w:r>
        <w:rPr>
          <w:b/>
        </w:rPr>
        <w:t xml:space="preserve">5. </w:t>
      </w:r>
      <w:r>
        <w:rPr>
          <w:color w:val="1F2937"/>
          <w:sz w:val="22"/>
          <w:rFonts w:eastAsia="宋体" w:ascii="Times New Roman" w:hAnsi="Times New Roman"/>
        </w:rPr>
        <w:t>CREA / GEM：Out of sight, out of control: 31 GW of captive coal (2025)。https://energyandcleanair.org/wp/wp-content/uploads/2026/02/EN-CREA_GEM_Indonesia-captive-coal-in-2025_REV.pdf （检索日期：2026-09-17）</w:t>
      </w:r>
    </w:p>
    <w:p>
      <w:pPr>
        <w:spacing w:after="60"/>
        <w:ind w:left="397"/>
      </w:pPr>
      <w:r>
        <w:rPr>
          <w:b/>
        </w:rPr>
        <w:t xml:space="preserve">6. </w:t>
      </w:r>
      <w:r>
        <w:rPr>
          <w:color w:val="1F2937"/>
          <w:sz w:val="22"/>
          <w:rFonts w:eastAsia="宋体" w:ascii="Times New Roman" w:hAnsi="Times New Roman"/>
        </w:rPr>
        <w:t>IUCN-NL MOSAIX 报告：Nickel Mining-Related Sustainability Impact at Morowali, Indonesia (2025-07)。Morowali 77% 与原始林重叠、&gt;75,000 公顷森林损毁、土壤径流评估。https://www.iucn.nl/app/uploads/2025/07/Morowali-report-IUCN-NL-finale-versie-high-res.pdf （检索日期：2026-09-17）</w:t>
      </w:r>
    </w:p>
    <w:p>
      <w:pPr>
        <w:spacing w:after="60"/>
        <w:ind w:left="397"/>
      </w:pPr>
      <w:r>
        <w:rPr>
          <w:b/>
        </w:rPr>
        <w:t xml:space="preserve">7. </w:t>
      </w:r>
      <w:r>
        <w:rPr>
          <w:color w:val="1F2937"/>
          <w:sz w:val="22"/>
          <w:rFonts w:eastAsia="宋体" w:ascii="Times New Roman" w:hAnsi="Times New Roman"/>
        </w:rPr>
        <w:t>Profundo / CNVI International：The Destructive Indonesian Nickel Supply Chain（IMIP 内部产能结构、50+ 公司）。https://www.cnvinternationaal.nl （检索日期：2026-09-17）</w:t>
      </w:r>
    </w:p>
    <w:p>
      <w:pPr>
        <w:spacing w:after="60"/>
        <w:ind w:left="397"/>
      </w:pPr>
      <w:r>
        <w:rPr>
          <w:b/>
        </w:rPr>
        <w:t xml:space="preserve">8. </w:t>
      </w:r>
      <w:r>
        <w:rPr>
          <w:color w:val="1F2937"/>
          <w:sz w:val="22"/>
          <w:rFonts w:eastAsia="宋体" w:ascii="Times New Roman" w:hAnsi="Times New Roman"/>
        </w:rPr>
        <w:t>APNI 印尼镍矿协会：HMA 2025-08 第二期 15,012.67 美元 / 干吨、各品位 HPM 基准价月度数据。https://www.apni.or.id （检索日期：2026-09-17）</w:t>
      </w:r>
    </w:p>
    <w:p>
      <w:pPr>
        <w:spacing w:after="60"/>
        <w:ind w:left="397"/>
      </w:pPr>
      <w:r>
        <w:rPr>
          <w:b/>
        </w:rPr>
        <w:t xml:space="preserve">9. </w:t>
      </w:r>
      <w:r>
        <w:rPr>
          <w:color w:val="1F2937"/>
          <w:sz w:val="22"/>
          <w:rFonts w:eastAsia="宋体" w:ascii="Times New Roman" w:hAnsi="Times New Roman"/>
        </w:rPr>
        <w:t>宁德时代对龙项目调整（2025-04）：因全球需求疲软，6.9 GWh 缩减为初始口径，CATL 持股 60–70%。https://segmenty.com/GenerateNewsStaticJsps/CATL_scales_back_EV_battery_investment_in_nation_amid_weak_global_demand.html （检索日期：2026-09-17）</w:t>
      </w:r>
    </w:p>
    <w:p>
      <w:pPr>
        <w:spacing w:after="60"/>
        <w:ind w:left="397"/>
      </w:pPr>
      <w:r>
        <w:rPr>
          <w:b/>
        </w:rPr>
        <w:t xml:space="preserve">10. </w:t>
      </w:r>
      <w:r>
        <w:rPr>
          <w:color w:val="1F2937"/>
          <w:sz w:val="22"/>
          <w:rFonts w:eastAsia="宋体" w:ascii="Times New Roman" w:hAnsi="Times New Roman"/>
        </w:rPr>
        <w:t>欧盟 — 印尼 CEPA（2025-07-13 签署）：含关键原材料合作专章。欧盟 Critical Raw Materials Act（2024 生效）：2030 年本土开采 10%、加工 40%、回收 25% 目标。https://policy.trade.ec.europa.eu （检索日期：2026-09-17）</w:t>
      </w:r>
    </w:p>
    <w:p>
      <w:pPr>
        <w:spacing w:after="60"/>
        <w:ind w:left="397"/>
      </w:pPr>
      <w:r>
        <w:rPr>
          <w:b/>
        </w:rPr>
        <w:t xml:space="preserve">11. </w:t>
      </w:r>
      <w:r>
        <w:rPr>
          <w:color w:val="1F2937"/>
          <w:sz w:val="22"/>
          <w:rFonts w:eastAsia="宋体" w:ascii="Times New Roman" w:hAnsi="Times New Roman"/>
        </w:rPr>
        <w:t>美国 IRA（2022 通胀削减法案）：矿物加工链中超过 25% 由中国公司参与即丧失补贴资格。https://www.whitehouse.gov （检索日期：2026-09-17）</w:t>
      </w:r>
    </w:p>
    <w:p>
      <w:pPr>
        <w:spacing w:after="60"/>
        <w:ind w:left="397"/>
      </w:pPr>
      <w:r>
        <w:rPr>
          <w:b/>
        </w:rPr>
        <w:t xml:space="preserve">12. </w:t>
      </w:r>
      <w:r>
        <w:rPr>
          <w:color w:val="1F2937"/>
          <w:sz w:val="22"/>
          <w:rFonts w:eastAsia="宋体" w:ascii="Times New Roman" w:hAnsi="Times New Roman"/>
        </w:rPr>
        <w:t>JETP 公正能源转型伙伴计划（2022 启动）：2030 年印尼可再生能源 34% 占比、累计融资 215 亿美元；TKBI v2 印尼可持续金融分类法（OJK 2024 生效）。https://jetp-id.org （检索日期：2026-09-17）</w:t>
      </w:r>
    </w:p>
    <w:p>
      <w:pPr>
        <w:spacing w:after="60"/>
        <w:ind w:left="397"/>
      </w:pPr>
      <w:r>
        <w:rPr>
          <w:b/>
        </w:rPr>
        <w:t xml:space="preserve">13. </w:t>
      </w:r>
      <w:r>
        <w:rPr>
          <w:color w:val="1F2937"/>
          <w:sz w:val="22"/>
          <w:rFonts w:eastAsia="宋体" w:ascii="Times New Roman" w:hAnsi="Times New Roman"/>
        </w:rPr>
        <w:t>本地一手数据源（corpusdi 印尼国别页收录）：BPS（bps.go.id）、ESDM（esdm.go.id）、APNI（apni.or.id）、OJK（ojk.go.id）、TKBI v2 分类法（keuanganberkelanjutan.ojk.go.id）。见 https://58eb9ec0383a4d2db4a22b2affa48ff2.app.workbuddy.link/countries/indonesia.html</w:t>
      </w:r>
    </w:p>
    <w:p>
      <w:pPr>
        <w:spacing w:after="120" w:line="360" w:lineRule="auto"/>
      </w:pPr>
      <w:r>
        <w:rPr>
          <w:rFonts w:ascii="Times New Roman" w:hAnsi="Times New Roman" w:eastAsia="宋体"/>
          <w:b w:val="0"/>
          <w:color w:val="4B5563"/>
          <w:sz w:val="19"/>
        </w:rPr>
        <w:t>© 2026 corpusdi 区域国别数据开放平台 · Diinsider 旗下。本文为基于公开数据的独立分析，引用请注明出处及各数据源原始口径。文中“价值链攀升”指 2020 年原矿出口禁令后印尼镍产业从原矿出口向冶炼 / 中间品 / 电芯 / 整车的物理层跨越；可持续发展代价与本土回应分别按 CREA、IUCN-MOSAIX 等独立来源记录。</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