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黑体" w:hAnsi="黑体" w:eastAsia="黑体"/>
          <w:b/>
          <w:i w:val="0"/>
          <w:color w:val="0B3A5C"/>
          <w:sz w:val="40"/>
        </w:rPr>
        <w:t>印尼工业机器人与具身智能产业链</w:t>
      </w:r>
    </w:p>
    <w:p>
      <w:pPr>
        <w:spacing w:after="120"/>
        <w:jc w:val="center"/>
      </w:pPr>
      <w:r>
        <w:rPr>
          <w:rFonts w:ascii="黑体" w:hAnsi="黑体" w:eastAsia="黑体"/>
          <w:b/>
          <w:i w:val="0"/>
          <w:color w:val="0B3A5C"/>
          <w:sz w:val="40"/>
        </w:rPr>
        <w:t>从「印尼制造 4.0」到高端制造跃迁</w:t>
      </w:r>
    </w:p>
    <w:p>
      <w:pPr>
        <w:jc w:val="center"/>
      </w:pPr>
      <w:r>
        <w:rPr>
          <w:rFonts w:ascii="宋体" w:hAnsi="宋体" w:eastAsia="宋体"/>
          <w:b w:val="0"/>
          <w:i w:val="0"/>
          <w:color w:val="4B5563"/>
          <w:sz w:val="19"/>
        </w:rPr>
        <w:t>corpusdi 区域国别数据开放平台 · 国别研究（东南亚）· 产业投资 / 高端制造 / 可持续发展领域分析</w:t>
      </w:r>
    </w:p>
    <w:p>
      <w:pPr>
        <w:jc w:val="center"/>
      </w:pPr>
      <w:r>
        <w:rPr>
          <w:rFonts w:ascii="宋体" w:hAnsi="宋体" w:eastAsia="宋体"/>
          <w:b w:val="0"/>
          <w:i w:val="0"/>
          <w:color w:val="4B5563"/>
          <w:sz w:val="19"/>
        </w:rPr>
        <w:t>数据来源：印尼工业部、IFR、Mordor Intelligence、Statista、6W Research、P&amp;S Intelligence、Goldman Sachs、Oxford Business Group、TTWTO/VCCI、新经济导刊、新思界产业研究中心等</w:t>
      </w:r>
    </w:p>
    <w:p>
      <w:pPr>
        <w:spacing w:before="280" w:after="80"/>
      </w:pPr>
      <w:r>
        <w:rPr>
          <w:rFonts w:ascii="黑体" w:hAnsi="黑体" w:eastAsia="黑体"/>
          <w:b/>
          <w:i w:val="0"/>
          <w:color w:val="0B3A5C"/>
          <w:sz w:val="30"/>
        </w:rPr>
        <w:t>摘要</w:t>
      </w:r>
    </w:p>
    <w:p>
      <w:pPr>
        <w:spacing w:line="408" w:lineRule="auto" w:after="120"/>
        <w:jc w:val="both"/>
      </w:pPr>
      <w:r>
        <w:rPr>
          <w:rFonts w:ascii="宋体" w:hAnsi="宋体" w:eastAsia="宋体"/>
          <w:b w:val="0"/>
          <w:i w:val="0"/>
          <w:color w:val="1F2937"/>
          <w:sz w:val="22"/>
        </w:rPr>
        <w:t>"印尼制造 4.0"（Making Indonesia 4.0）发布七年、工业机器人与具身智能自 2021 年起被反复列入印尼产业政策的优先序列后，印尼的高端制造装备赛道正处于『市场被外部供应商主导、本地集成能力正快速补课、政策服务端能否兜住可持续性』的三重拉锯中。本文以 IFR（2024）、Mordor、Statista、6W Research 等市场口径与印尼工业部、ANTARA、Oxford Business Group 等政策口径交叉验证，回答五个问题：印尼工业机器人和具身智能的真实市场在哪里？政策端怎样把『工业 4.0』转译为可执行的产业 KPI？高端集成主要由谁在做（外资品牌 / 日韩欧 OEM / 本地系统集成商 / 中国机器人厂商）？印尼本地视角看到的产业链是什么样的？同处东南亚，印尼相对菲律宾、泰国、越南的位置如何。</w:t>
      </w:r>
    </w:p>
    <w:p>
      <w:pPr>
        <w:spacing w:before="280" w:after="80"/>
      </w:pPr>
      <w:r>
        <w:rPr>
          <w:rFonts w:ascii="黑体" w:hAnsi="黑体" w:eastAsia="黑体"/>
          <w:b/>
          <w:i w:val="0"/>
          <w:color w:val="0B3A5C"/>
          <w:sz w:val="30"/>
        </w:rPr>
        <w:t>一、口径先行：工业机器人与具身智能的几种计量</w:t>
      </w:r>
    </w:p>
    <w:p>
      <w:pPr>
        <w:spacing w:line="408" w:lineRule="auto" w:after="120"/>
        <w:jc w:val="both"/>
      </w:pPr>
      <w:r>
        <w:rPr>
          <w:rFonts w:ascii="宋体" w:hAnsi="宋体" w:eastAsia="宋体"/>
          <w:b w:val="0"/>
          <w:i w:val="0"/>
          <w:color w:val="1F2937"/>
          <w:sz w:val="22"/>
        </w:rPr>
        <w:t>评价印尼工业机器人和具身智能市场的成绩单前，必须先还原『机器人』这个词在不同口径下的真实含义。同一台机器可被报告为『工业机器人』"协作机器人（cobot）""服务机器人『"人形机器人』"AI 结合型机器人"。混用即误读。</w:t>
      </w:r>
    </w:p>
    <w:p>
      <w:pPr>
        <w:spacing w:before="200" w:after="40"/>
      </w:pPr>
      <w:r>
        <w:rPr>
          <w:rFonts w:ascii="黑体" w:hAnsi="黑体" w:eastAsia="黑体"/>
          <w:b/>
          <w:i w:val="0"/>
          <w:color w:val="0E7C8A"/>
          <w:sz w:val="25"/>
        </w:rPr>
        <w:t>表 1：印尼机器人与具身智能的 5 种计量口径（2024–2025）</w:t>
      </w:r>
    </w:p>
    <w:tbl>
      <w:tblPr>
        <w:tblStyle w:val="LightGrid-Accent1"/>
        <w:tblW w:type="auto" w:w="0"/>
        <w:tblLook w:firstColumn="1" w:firstRow="1" w:lastColumn="0" w:lastRow="0" w:noHBand="0" w:noVBand="1" w:val="04A0"/>
      </w:tblPr>
      <w:tblGrid>
        <w:gridCol w:w="2379"/>
        <w:gridCol w:w="2379"/>
        <w:gridCol w:w="2379"/>
        <w:gridCol w:w="2379"/>
      </w:tblGrid>
      <w:tr>
        <w:tc>
          <w:tcPr>
            <w:tcW w:type="dxa" w:w="2379"/>
          </w:tcPr>
          <w:p>
            <w:pPr>
              <w:jc w:val="center"/>
            </w:pPr>
            <w:r/>
            <w:r>
              <w:rPr>
                <w:rFonts w:ascii="黑体" w:hAnsi="黑体" w:eastAsia="黑体"/>
                <w:b/>
                <w:i w:val="0"/>
                <w:color w:val="0B3A5C"/>
                <w:sz w:val="20"/>
              </w:rPr>
              <w:t>口径</w:t>
            </w:r>
          </w:p>
        </w:tc>
        <w:tc>
          <w:tcPr>
            <w:tcW w:type="dxa" w:w="2379"/>
          </w:tcPr>
          <w:p>
            <w:pPr>
              <w:jc w:val="center"/>
            </w:pPr>
            <w:r/>
            <w:r>
              <w:rPr>
                <w:rFonts w:ascii="黑体" w:hAnsi="黑体" w:eastAsia="黑体"/>
                <w:b/>
                <w:i w:val="0"/>
                <w:color w:val="0B3A5C"/>
                <w:sz w:val="20"/>
              </w:rPr>
              <w:t>数值（最近一年）</w:t>
            </w:r>
          </w:p>
        </w:tc>
        <w:tc>
          <w:tcPr>
            <w:tcW w:type="dxa" w:w="2379"/>
          </w:tcPr>
          <w:p>
            <w:pPr>
              <w:jc w:val="center"/>
            </w:pPr>
            <w:r/>
            <w:r>
              <w:rPr>
                <w:rFonts w:ascii="黑体" w:hAnsi="黑体" w:eastAsia="黑体"/>
                <w:b/>
                <w:i w:val="0"/>
                <w:color w:val="0B3A5C"/>
                <w:sz w:val="20"/>
              </w:rPr>
              <w:t>远期 / 增长口径</w:t>
            </w:r>
          </w:p>
        </w:tc>
        <w:tc>
          <w:tcPr>
            <w:tcW w:type="dxa" w:w="2379"/>
          </w:tcPr>
          <w:p>
            <w:pPr>
              <w:jc w:val="center"/>
            </w:pPr>
            <w:r/>
            <w:r>
              <w:rPr>
                <w:rFonts w:ascii="黑体" w:hAnsi="黑体" w:eastAsia="黑体"/>
                <w:b/>
                <w:i w:val="0"/>
                <w:color w:val="0B3A5C"/>
                <w:sz w:val="20"/>
              </w:rPr>
              <w:t>主要出处</w:t>
            </w:r>
          </w:p>
        </w:tc>
      </w:tr>
      <w:tr>
        <w:tc>
          <w:tcPr>
            <w:tcW w:type="dxa" w:w="2379"/>
          </w:tcPr>
          <w:p>
            <w:pPr>
              <w:jc w:val="center"/>
            </w:pPr>
            <w:r/>
            <w:r>
              <w:rPr>
                <w:rFonts w:ascii="宋体" w:hAnsi="宋体" w:eastAsia="宋体"/>
                <w:b w:val="0"/>
                <w:i w:val="0"/>
                <w:color w:val="1F2937"/>
                <w:sz w:val="19"/>
              </w:rPr>
              <w:t>工业机器人（market size）</w:t>
            </w:r>
          </w:p>
        </w:tc>
        <w:tc>
          <w:tcPr>
            <w:tcW w:type="dxa" w:w="2379"/>
          </w:tcPr>
          <w:p>
            <w:pPr>
              <w:jc w:val="center"/>
            </w:pPr>
            <w:r/>
            <w:r>
              <w:rPr>
                <w:rFonts w:ascii="宋体" w:hAnsi="宋体" w:eastAsia="宋体"/>
                <w:b w:val="0"/>
                <w:i w:val="0"/>
                <w:color w:val="1F2937"/>
                <w:sz w:val="19"/>
              </w:rPr>
              <w:t>2024：2,024 万 USD</w:t>
              <w:br/>
              <w:t>2025e：2,380 万 USD</w:t>
            </w:r>
          </w:p>
        </w:tc>
        <w:tc>
          <w:tcPr>
            <w:tcW w:type="dxa" w:w="2379"/>
          </w:tcPr>
          <w:p>
            <w:pPr>
              <w:jc w:val="center"/>
            </w:pPr>
            <w:r/>
            <w:r>
              <w:rPr>
                <w:rFonts w:ascii="宋体" w:hAnsi="宋体" w:eastAsia="宋体"/>
                <w:b w:val="0"/>
                <w:i w:val="0"/>
                <w:color w:val="1F2937"/>
                <w:sz w:val="19"/>
              </w:rPr>
              <w:t>2030e：4,775 万 USD（CAGR 14.94%）</w:t>
            </w:r>
          </w:p>
        </w:tc>
        <w:tc>
          <w:tcPr>
            <w:tcW w:type="dxa" w:w="2379"/>
          </w:tcPr>
          <w:p>
            <w:pPr>
              <w:jc w:val="center"/>
            </w:pPr>
            <w:r/>
            <w:r>
              <w:rPr>
                <w:rFonts w:ascii="宋体" w:hAnsi="宋体" w:eastAsia="宋体"/>
                <w:b w:val="0"/>
                <w:i w:val="0"/>
                <w:color w:val="1F2937"/>
                <w:sz w:val="19"/>
              </w:rPr>
              <w:t>Mordor Intelligence</w:t>
            </w:r>
          </w:p>
        </w:tc>
      </w:tr>
      <w:tr>
        <w:tc>
          <w:tcPr>
            <w:tcW w:type="dxa" w:w="2379"/>
          </w:tcPr>
          <w:p>
            <w:pPr>
              <w:jc w:val="center"/>
            </w:pPr>
            <w:r/>
            <w:r>
              <w:rPr>
                <w:rFonts w:ascii="宋体" w:hAnsi="宋体" w:eastAsia="宋体"/>
                <w:b w:val="0"/>
                <w:i w:val="0"/>
                <w:color w:val="1F2937"/>
                <w:sz w:val="19"/>
              </w:rPr>
              <w:t>AI 结合型机器人收入</w:t>
            </w:r>
          </w:p>
        </w:tc>
        <w:tc>
          <w:tcPr>
            <w:tcW w:type="dxa" w:w="2379"/>
          </w:tcPr>
          <w:p>
            <w:pPr>
              <w:jc w:val="center"/>
            </w:pPr>
            <w:r/>
            <w:r>
              <w:rPr>
                <w:rFonts w:ascii="宋体" w:hAnsi="宋体" w:eastAsia="宋体"/>
                <w:b w:val="0"/>
                <w:i w:val="0"/>
                <w:color w:val="1F2937"/>
                <w:sz w:val="19"/>
              </w:rPr>
              <w:t>2024：5,795 万 USD</w:t>
            </w:r>
          </w:p>
        </w:tc>
        <w:tc>
          <w:tcPr>
            <w:tcW w:type="dxa" w:w="2379"/>
          </w:tcPr>
          <w:p>
            <w:pPr>
              <w:jc w:val="center"/>
            </w:pPr>
            <w:r/>
            <w:r>
              <w:rPr>
                <w:rFonts w:ascii="宋体" w:hAnsi="宋体" w:eastAsia="宋体"/>
                <w:b w:val="0"/>
                <w:i w:val="0"/>
                <w:color w:val="1F2937"/>
                <w:sz w:val="19"/>
              </w:rPr>
              <w:t>2030e：2.287 亿 USD（CAGR 25.7%）</w:t>
            </w:r>
          </w:p>
        </w:tc>
        <w:tc>
          <w:tcPr>
            <w:tcW w:type="dxa" w:w="2379"/>
          </w:tcPr>
          <w:p>
            <w:pPr>
              <w:jc w:val="center"/>
            </w:pPr>
            <w:r/>
            <w:r>
              <w:rPr>
                <w:rFonts w:ascii="宋体" w:hAnsi="宋体" w:eastAsia="宋体"/>
                <w:b w:val="0"/>
                <w:i w:val="0"/>
                <w:color w:val="1F2937"/>
                <w:sz w:val="19"/>
              </w:rPr>
              <w:t>Statista / Mordor</w:t>
            </w:r>
          </w:p>
        </w:tc>
      </w:tr>
      <w:tr>
        <w:tc>
          <w:tcPr>
            <w:tcW w:type="dxa" w:w="2379"/>
          </w:tcPr>
          <w:p>
            <w:pPr>
              <w:jc w:val="center"/>
            </w:pPr>
            <w:r/>
            <w:r>
              <w:rPr>
                <w:rFonts w:ascii="宋体" w:hAnsi="宋体" w:eastAsia="宋体"/>
                <w:b w:val="0"/>
                <w:i w:val="0"/>
                <w:color w:val="1F2937"/>
                <w:sz w:val="19"/>
              </w:rPr>
              <w:t>人形机器人</w:t>
            </w:r>
          </w:p>
        </w:tc>
        <w:tc>
          <w:tcPr>
            <w:tcW w:type="dxa" w:w="2379"/>
          </w:tcPr>
          <w:p>
            <w:pPr>
              <w:jc w:val="center"/>
            </w:pPr>
            <w:r/>
            <w:r>
              <w:rPr>
                <w:rFonts w:ascii="宋体" w:hAnsi="宋体" w:eastAsia="宋体"/>
                <w:b w:val="0"/>
                <w:i w:val="0"/>
                <w:color w:val="1F2937"/>
                <w:sz w:val="19"/>
              </w:rPr>
              <w:t>2023：1,007 万 USD</w:t>
              <w:br/>
              <w:t>2024e：1,512 万 USD</w:t>
            </w:r>
          </w:p>
        </w:tc>
        <w:tc>
          <w:tcPr>
            <w:tcW w:type="dxa" w:w="2379"/>
          </w:tcPr>
          <w:p>
            <w:pPr>
              <w:jc w:val="center"/>
            </w:pPr>
            <w:r/>
            <w:r>
              <w:rPr>
                <w:rFonts w:ascii="宋体" w:hAnsi="宋体" w:eastAsia="宋体"/>
                <w:b w:val="0"/>
                <w:i w:val="0"/>
                <w:color w:val="1F2937"/>
                <w:sz w:val="19"/>
              </w:rPr>
              <w:t>2035e：2 亿 USD（CAGR 26.5%）</w:t>
            </w:r>
          </w:p>
        </w:tc>
        <w:tc>
          <w:tcPr>
            <w:tcW w:type="dxa" w:w="2379"/>
          </w:tcPr>
          <w:p>
            <w:pPr>
              <w:jc w:val="center"/>
            </w:pPr>
            <w:r/>
            <w:r>
              <w:rPr>
                <w:rFonts w:ascii="宋体" w:hAnsi="宋体" w:eastAsia="宋体"/>
                <w:b w:val="0"/>
                <w:i w:val="0"/>
                <w:color w:val="1F2937"/>
                <w:sz w:val="19"/>
              </w:rPr>
              <w:t>Sunrise Expo 引 Mordor</w:t>
            </w:r>
          </w:p>
        </w:tc>
      </w:tr>
      <w:tr>
        <w:tc>
          <w:tcPr>
            <w:tcW w:type="dxa" w:w="2379"/>
          </w:tcPr>
          <w:p>
            <w:pPr>
              <w:jc w:val="center"/>
            </w:pPr>
            <w:r/>
            <w:r>
              <w:rPr>
                <w:rFonts w:ascii="宋体" w:hAnsi="宋体" w:eastAsia="宋体"/>
                <w:b w:val="0"/>
                <w:i w:val="0"/>
                <w:color w:val="1F2937"/>
                <w:sz w:val="19"/>
              </w:rPr>
              <w:t>工业自动化与控制系统</w:t>
              <w:br/>
              <w:t>（含 PLC/SCADA/HMI）</w:t>
            </w:r>
          </w:p>
        </w:tc>
        <w:tc>
          <w:tcPr>
            <w:tcW w:type="dxa" w:w="2379"/>
          </w:tcPr>
          <w:p>
            <w:pPr>
              <w:jc w:val="center"/>
            </w:pPr>
            <w:r/>
            <w:r>
              <w:rPr>
                <w:rFonts w:ascii="宋体" w:hAnsi="宋体" w:eastAsia="宋体"/>
                <w:b w:val="0"/>
                <w:i w:val="0"/>
                <w:color w:val="1F2937"/>
                <w:sz w:val="19"/>
              </w:rPr>
              <w:t>2024：34 亿 USD</w:t>
            </w:r>
          </w:p>
        </w:tc>
        <w:tc>
          <w:tcPr>
            <w:tcW w:type="dxa" w:w="2379"/>
          </w:tcPr>
          <w:p>
            <w:pPr>
              <w:jc w:val="center"/>
            </w:pPr>
            <w:r/>
            <w:r>
              <w:rPr>
                <w:rFonts w:ascii="宋体" w:hAnsi="宋体" w:eastAsia="宋体"/>
                <w:b w:val="0"/>
                <w:i w:val="0"/>
                <w:color w:val="1F2937"/>
                <w:sz w:val="19"/>
              </w:rPr>
              <w:t>2033e：84 亿 USD（CAGR 9.6%）</w:t>
            </w:r>
          </w:p>
        </w:tc>
        <w:tc>
          <w:tcPr>
            <w:tcW w:type="dxa" w:w="2379"/>
          </w:tcPr>
          <w:p>
            <w:pPr>
              <w:jc w:val="center"/>
            </w:pPr>
            <w:r/>
            <w:r>
              <w:rPr>
                <w:rFonts w:ascii="宋体" w:hAnsi="宋体" w:eastAsia="宋体"/>
                <w:b w:val="0"/>
                <w:i w:val="0"/>
                <w:color w:val="1F2937"/>
                <w:sz w:val="19"/>
              </w:rPr>
              <w:t>Technavio / 6W Research</w:t>
            </w:r>
          </w:p>
        </w:tc>
      </w:tr>
      <w:tr>
        <w:tc>
          <w:tcPr>
            <w:tcW w:type="dxa" w:w="2379"/>
          </w:tcPr>
          <w:p>
            <w:pPr>
              <w:jc w:val="center"/>
            </w:pPr>
            <w:r/>
            <w:r>
              <w:rPr>
                <w:rFonts w:ascii="宋体" w:hAnsi="宋体" w:eastAsia="宋体"/>
                <w:b w:val="0"/>
                <w:i w:val="0"/>
                <w:color w:val="1F2937"/>
                <w:sz w:val="19"/>
              </w:rPr>
              <w:t>制造业产能占 GDP</w:t>
            </w:r>
          </w:p>
        </w:tc>
        <w:tc>
          <w:tcPr>
            <w:tcW w:type="dxa" w:w="2379"/>
          </w:tcPr>
          <w:p>
            <w:pPr>
              <w:jc w:val="center"/>
            </w:pPr>
            <w:r/>
            <w:r>
              <w:rPr>
                <w:rFonts w:ascii="宋体" w:hAnsi="宋体" w:eastAsia="宋体"/>
                <w:b w:val="0"/>
                <w:i w:val="0"/>
                <w:color w:val="1F2937"/>
                <w:sz w:val="19"/>
              </w:rPr>
              <w:t>2023：18.7%（最大单一部门）</w:t>
              <w:br/>
              <w:t>2024：制造业出口 1,960 亿 USD</w:t>
            </w:r>
          </w:p>
        </w:tc>
        <w:tc>
          <w:tcPr>
            <w:tcW w:type="dxa" w:w="2379"/>
          </w:tcPr>
          <w:p>
            <w:pPr>
              <w:jc w:val="center"/>
            </w:pPr>
            <w:r/>
            <w:r>
              <w:rPr>
                <w:rFonts w:ascii="宋体" w:hAnsi="宋体" w:eastAsia="宋体"/>
                <w:b w:val="0"/>
                <w:i w:val="0"/>
                <w:color w:val="1F2937"/>
                <w:sz w:val="19"/>
              </w:rPr>
              <w:t>2030 目标：25%（SBIN 路线图）</w:t>
            </w:r>
          </w:p>
        </w:tc>
        <w:tc>
          <w:tcPr>
            <w:tcW w:type="dxa" w:w="2379"/>
          </w:tcPr>
          <w:p>
            <w:pPr>
              <w:jc w:val="center"/>
            </w:pPr>
            <w:r/>
            <w:r>
              <w:rPr>
                <w:rFonts w:ascii="宋体" w:hAnsi="宋体" w:eastAsia="宋体"/>
                <w:b w:val="0"/>
                <w:i w:val="0"/>
                <w:color w:val="1F2937"/>
                <w:sz w:val="19"/>
              </w:rPr>
              <w:t>印尼工业部 / 新思界</w:t>
            </w:r>
          </w:p>
        </w:tc>
      </w:tr>
      <w:tr>
        <w:tc>
          <w:tcPr>
            <w:tcW w:type="dxa" w:w="2379"/>
          </w:tcPr>
          <w:p>
            <w:pPr>
              <w:jc w:val="center"/>
            </w:pPr>
            <w:r/>
            <w:r>
              <w:rPr>
                <w:rFonts w:ascii="宋体" w:hAnsi="宋体" w:eastAsia="宋体"/>
                <w:b w:val="0"/>
                <w:i w:val="0"/>
                <w:color w:val="1F2937"/>
                <w:sz w:val="19"/>
              </w:rPr>
              <w:t>全球工业机器人安装密度（对比）</w:t>
            </w:r>
          </w:p>
        </w:tc>
        <w:tc>
          <w:tcPr>
            <w:tcW w:type="dxa" w:w="2379"/>
          </w:tcPr>
          <w:p>
            <w:pPr>
              <w:jc w:val="center"/>
            </w:pPr>
            <w:r/>
            <w:r>
              <w:rPr>
                <w:rFonts w:ascii="宋体" w:hAnsi="宋体" w:eastAsia="宋体"/>
                <w:b w:val="0"/>
                <w:i w:val="0"/>
                <w:color w:val="1F2937"/>
                <w:sz w:val="19"/>
              </w:rPr>
              <w:t>全球 542,000 台（2024）；亚洲 74%；中国 295,000 台</w:t>
            </w:r>
          </w:p>
        </w:tc>
        <w:tc>
          <w:tcPr>
            <w:tcW w:type="dxa" w:w="2379"/>
          </w:tcPr>
          <w:p>
            <w:pPr>
              <w:jc w:val="center"/>
            </w:pPr>
            <w:r/>
            <w:r>
              <w:rPr>
                <w:rFonts w:ascii="宋体" w:hAnsi="宋体" w:eastAsia="宋体"/>
                <w:b w:val="0"/>
                <w:i w:val="0"/>
                <w:color w:val="1F2937"/>
                <w:sz w:val="19"/>
              </w:rPr>
              <w:t>Goldman Sachs：人形机器人 2035 年 380 亿 USD</w:t>
            </w:r>
          </w:p>
        </w:tc>
        <w:tc>
          <w:tcPr>
            <w:tcW w:type="dxa" w:w="2379"/>
          </w:tcPr>
          <w:p>
            <w:pPr>
              <w:jc w:val="center"/>
            </w:pPr>
            <w:r/>
            <w:r>
              <w:rPr>
                <w:rFonts w:ascii="宋体" w:hAnsi="宋体" w:eastAsia="宋体"/>
                <w:b w:val="0"/>
                <w:i w:val="0"/>
                <w:color w:val="1F2937"/>
                <w:sz w:val="19"/>
              </w:rPr>
              <w:t>IFR / Goldman Sachs</w:t>
            </w:r>
          </w:p>
        </w:tc>
      </w:tr>
      <w:tr>
        <w:tc>
          <w:tcPr>
            <w:tcW w:type="dxa" w:w="2379"/>
          </w:tcPr>
          <w:p>
            <w:pPr>
              <w:jc w:val="center"/>
            </w:pPr>
            <w:r/>
            <w:r>
              <w:rPr>
                <w:rFonts w:ascii="宋体" w:hAnsi="宋体" w:eastAsia="宋体"/>
                <w:b w:val="0"/>
                <w:i w:val="0"/>
                <w:color w:val="1F2937"/>
                <w:sz w:val="19"/>
              </w:rPr>
              <w:t>制造业就业</w:t>
            </w:r>
          </w:p>
        </w:tc>
        <w:tc>
          <w:tcPr>
            <w:tcW w:type="dxa" w:w="2379"/>
          </w:tcPr>
          <w:p>
            <w:pPr>
              <w:jc w:val="center"/>
            </w:pPr>
            <w:r/>
            <w:r>
              <w:rPr>
                <w:rFonts w:ascii="宋体" w:hAnsi="宋体" w:eastAsia="宋体"/>
                <w:b w:val="0"/>
                <w:i w:val="0"/>
                <w:color w:val="1F2937"/>
                <w:sz w:val="19"/>
              </w:rPr>
              <w:t>2023：1,930 万人</w:t>
            </w:r>
          </w:p>
        </w:tc>
        <w:tc>
          <w:tcPr>
            <w:tcW w:type="dxa" w:w="2379"/>
          </w:tcPr>
          <w:p>
            <w:pPr>
              <w:jc w:val="center"/>
            </w:pPr>
            <w:r/>
            <w:r>
              <w:rPr>
                <w:rFonts w:ascii="宋体" w:hAnsi="宋体" w:eastAsia="宋体"/>
                <w:b w:val="0"/>
                <w:i w:val="0"/>
                <w:color w:val="1F2937"/>
                <w:sz w:val="19"/>
              </w:rPr>
              <w:t>工业 4.0 路径目标 2025–2035 再新增 1,000 万</w:t>
            </w:r>
          </w:p>
        </w:tc>
        <w:tc>
          <w:tcPr>
            <w:tcW w:type="dxa" w:w="2379"/>
          </w:tcPr>
          <w:p>
            <w:pPr>
              <w:jc w:val="center"/>
            </w:pPr>
            <w:r/>
            <w:r>
              <w:rPr>
                <w:rFonts w:ascii="宋体" w:hAnsi="宋体" w:eastAsia="宋体"/>
                <w:b w:val="0"/>
                <w:i w:val="0"/>
                <w:color w:val="1F2937"/>
                <w:sz w:val="19"/>
              </w:rPr>
              <w:t>印尼工业部 / P&amp;S Intelligence</w:t>
            </w:r>
          </w:p>
        </w:tc>
      </w:tr>
    </w:tbl>
    <w:p>
      <w:pPr>
        <w:spacing w:after="120"/>
      </w:pPr>
      <w:r>
        <w:rPr>
          <w:rFonts w:ascii="宋体" w:hAnsi="宋体" w:eastAsia="宋体"/>
          <w:b w:val="0"/>
          <w:i w:val="0"/>
          <w:color w:val="4B5563"/>
          <w:sz w:val="18"/>
        </w:rPr>
        <w:t>注：Mordor/Statista/6W Research/P&amp;S Intelligence 数据基于美元换算口径，与 IFR 全球出货台数（台数 vs. 美元）口径不同；Goldman Sachs 对人形机器人的 380 亿美元为 2035 年『可能』区间，不是承诺。</w:t>
      </w:r>
    </w:p>
    <w:p>
      <w:pPr>
        <w:spacing w:line="408" w:lineRule="auto" w:after="120"/>
        <w:jc w:val="both"/>
      </w:pPr>
      <w:r>
        <w:rPr>
          <w:rFonts w:ascii="宋体" w:hAnsi="宋体" w:eastAsia="宋体"/>
          <w:b w:val="0"/>
          <w:i w:val="0"/>
          <w:color w:val="1F2937"/>
          <w:sz w:val="22"/>
        </w:rPr>
        <w:t>口径混乱的典型表现是把『人形机器人』等同于『具身智能』，再把『具身智能』等同于『工业机器人』。事实上，三者在物理形态、AI 能力、应用场景与价格区间均不同：工业机器人以汽车焊接/喷涂为代表，单价 5–25 万美元，本体 + 集成是主要成本；协作机器人（cobot）单价 1–5 万美元，部署周期短，适合中小批量与精密装配；具身智能/人形机器人目前多在教育、服务、医疗演示阶段，单价 10–30 万美元，但产业级应用仍未规模化。</w:t>
      </w:r>
    </w:p>
    <w:p>
      <w:pPr>
        <w:spacing w:before="280" w:after="80"/>
      </w:pPr>
      <w:r>
        <w:rPr>
          <w:rFonts w:ascii="黑体" w:hAnsi="黑体" w:eastAsia="黑体"/>
          <w:b/>
          <w:i w:val="0"/>
          <w:color w:val="0B3A5C"/>
          <w:sz w:val="30"/>
        </w:rPr>
        <w:t>二、政策框架：从「印尼制造 4.0」到 SBIN 的四层结构</w:t>
      </w:r>
    </w:p>
    <w:p>
      <w:pPr>
        <w:spacing w:line="408" w:lineRule="auto" w:after="120"/>
        <w:jc w:val="both"/>
      </w:pPr>
      <w:r>
        <w:rPr>
          <w:rFonts w:ascii="宋体" w:hAnsi="宋体" w:eastAsia="宋体"/>
          <w:b w:val="0"/>
          <w:i w:val="0"/>
          <w:color w:val="1F2937"/>
          <w:sz w:val="22"/>
        </w:rPr>
        <w:t>印尼的工业机器人与具身智能政策并非单点刺激，而是嵌套在『总体规划（Making Indonesia 4.0）— 评估工具（INDI 4.0）— 实施中心（PIDI 4.0）— 工业化战略（SBIN / Asta Cita）』的四层体系内。</w:t>
      </w:r>
    </w:p>
    <w:p>
      <w:pPr>
        <w:spacing w:before="200" w:after="40"/>
      </w:pPr>
      <w:r>
        <w:rPr>
          <w:rFonts w:ascii="黑体" w:hAnsi="黑体" w:eastAsia="黑体"/>
          <w:b/>
          <w:i w:val="0"/>
          <w:color w:val="0E7C8A"/>
          <w:sz w:val="25"/>
        </w:rPr>
        <w:t>2.1 顶层规划：Making Indonesia 4.0（2018，2025 年新阶段）</w:t>
      </w:r>
    </w:p>
    <w:p>
      <w:pPr>
        <w:spacing w:line="408" w:lineRule="auto" w:after="120"/>
        <w:jc w:val="both"/>
      </w:pPr>
      <w:r>
        <w:rPr>
          <w:rFonts w:ascii="宋体" w:hAnsi="宋体" w:eastAsia="宋体"/>
          <w:b w:val="0"/>
          <w:i w:val="0"/>
          <w:color w:val="1F2937"/>
          <w:sz w:val="22"/>
        </w:rPr>
        <w:t>"印尼制造 4.0"于 2018 年由印尼工业部发布，是印尼对接全球工业 4.0 浪潮的总规划。它有四组核心要素：（1）五大优先领域：汽车、纺织、化工、食品饮料、电子；（2）七大赋能技术：IoT、人工智能、人机界面、机器人和传感器技术、3D 打印等；（3）目标：到 2030 年印尼跻身全球十大经济体，2% GDP 投入研发，制造业 GDP 占比由 18.7%（2023）提升至 25%（2030 目标）；（4）一站式服务：印尼数字产业中心 4.0（PIDI 4.0）。</w:t>
      </w:r>
    </w:p>
    <w:p>
      <w:pPr>
        <w:spacing w:before="200" w:after="40"/>
      </w:pPr>
      <w:r>
        <w:rPr>
          <w:rFonts w:ascii="黑体" w:hAnsi="黑体" w:eastAsia="黑体"/>
          <w:b/>
          <w:i w:val="0"/>
          <w:color w:val="0E7C8A"/>
          <w:sz w:val="25"/>
        </w:rPr>
        <w:t>2.2 评估工具：INDI 4.0</w:t>
      </w:r>
    </w:p>
    <w:p>
      <w:pPr>
        <w:spacing w:line="408" w:lineRule="auto" w:after="120"/>
        <w:jc w:val="both"/>
      </w:pPr>
      <w:r>
        <w:rPr>
          <w:rFonts w:ascii="宋体" w:hAnsi="宋体" w:eastAsia="宋体"/>
          <w:b w:val="0"/>
          <w:i w:val="0"/>
          <w:color w:val="1F2937"/>
          <w:sz w:val="22"/>
        </w:rPr>
        <w:t>INDI 4.0 衡量企业向工业 4.0 过渡准备度，五个支柱：管理与组织、人与文化、产品与服务、技术、工厂运营。INDI 4.0 评分 ≥3.0 即可获认证。截至 2024 年 6 月，PT Isuzu Astra Motor Indonesia（IAMI）成为印尼商用车（CV）领域首家获 INDI 4.0 认证的企业，是 60+ 家评分 &gt;3.0 的公司之一；2024 年 10 月，IAMI 又获得『智能工厂』类别 INDI 4.0 奖。PT Astra Daihatsu Motor（ADM）是另一家经常被点名的本土高端制造集成案例，机器视觉引导机器人被列入印尼工业 4.0 示范案例。</w:t>
      </w:r>
    </w:p>
    <w:p>
      <w:pPr>
        <w:spacing w:before="200" w:after="40"/>
      </w:pPr>
      <w:r>
        <w:rPr>
          <w:rFonts w:ascii="黑体" w:hAnsi="黑体" w:eastAsia="黑体"/>
          <w:b/>
          <w:i w:val="0"/>
          <w:color w:val="0E7C8A"/>
          <w:sz w:val="25"/>
        </w:rPr>
        <w:t>2.3 实施中心：PIDI 4.0</w:t>
      </w:r>
    </w:p>
    <w:p>
      <w:pPr>
        <w:spacing w:line="408" w:lineRule="auto" w:after="120"/>
        <w:jc w:val="both"/>
      </w:pPr>
      <w:r>
        <w:rPr>
          <w:rFonts w:ascii="宋体" w:hAnsi="宋体" w:eastAsia="宋体"/>
          <w:b w:val="0"/>
          <w:i w:val="0"/>
          <w:color w:val="1F2937"/>
          <w:sz w:val="22"/>
        </w:rPr>
        <w:t>PIDI 4.0 于 2019 年成立，是印尼工业部与制造业对接工业 4.0 的『一站式服务』机构，功能包括培训、人才认证、试点示范、国际合作。</w:t>
      </w:r>
    </w:p>
    <w:p>
      <w:pPr>
        <w:spacing w:before="200" w:after="40"/>
      </w:pPr>
      <w:r>
        <w:rPr>
          <w:rFonts w:ascii="黑体" w:hAnsi="黑体" w:eastAsia="黑体"/>
          <w:b/>
          <w:i w:val="0"/>
          <w:color w:val="0E7C8A"/>
          <w:sz w:val="25"/>
        </w:rPr>
        <w:t>2.4 工业化战略：SBIN 与 Asta Cita（2025 年起的新阶段）</w:t>
      </w:r>
    </w:p>
    <w:p>
      <w:pPr>
        <w:spacing w:line="408" w:lineRule="auto" w:after="120"/>
        <w:jc w:val="both"/>
      </w:pPr>
      <w:r>
        <w:rPr>
          <w:rFonts w:ascii="宋体" w:hAnsi="宋体" w:eastAsia="宋体"/>
          <w:b w:val="0"/>
          <w:i w:val="0"/>
          <w:color w:val="1F2937"/>
          <w:sz w:val="22"/>
        </w:rPr>
        <w:t>2025 年 7 月 14 日，印尼工业部长 Agus Gumiwang Kartasasmita 在日本广岛大学公开演讲中首次系统介绍 SBIN（New National Industrialization Strategy）。SBIN 的核心要素包括：（1）自然资源下游化已扩展到钴、锂、稀土等关键矿产；（2）Morowali（中苏拉威西）作为下游化集群样板；（3）"工业 4.0 加速『——纺织业引入零废染材系统、食品饮料引入溯源区块链、汽车组件引入机器人装配 + JIT 物流；（4）绿色工业化——Batang 工业区（中爪哇）作为』生态现代化"试点；（5）职业教育与日本/德国/韩国培训合作。</w:t>
      </w:r>
    </w:p>
    <w:p>
      <w:pPr>
        <w:spacing w:before="200" w:after="40"/>
      </w:pPr>
      <w:r>
        <w:rPr>
          <w:rFonts w:ascii="黑体" w:hAnsi="黑体" w:eastAsia="黑体"/>
          <w:b/>
          <w:i w:val="0"/>
          <w:color w:val="0E7C8A"/>
          <w:sz w:val="25"/>
        </w:rPr>
        <w:t>表 2：印尼工业机器人与具身智能政策框架的四层结构</w:t>
      </w:r>
    </w:p>
    <w:tbl>
      <w:tblPr>
        <w:tblStyle w:val="LightGrid-Accent1"/>
        <w:tblW w:type="auto" w:w="0"/>
        <w:tblLook w:firstColumn="1" w:firstRow="1" w:lastColumn="0" w:lastRow="0" w:noHBand="0" w:noVBand="1" w:val="04A0"/>
      </w:tblPr>
      <w:tblGrid>
        <w:gridCol w:w="2379"/>
        <w:gridCol w:w="2379"/>
        <w:gridCol w:w="2379"/>
        <w:gridCol w:w="2379"/>
      </w:tblGrid>
      <w:tr>
        <w:tc>
          <w:tcPr>
            <w:tcW w:type="dxa" w:w="2379"/>
          </w:tcPr>
          <w:p>
            <w:pPr>
              <w:jc w:val="center"/>
            </w:pPr>
            <w:r/>
            <w:r>
              <w:rPr>
                <w:rFonts w:ascii="黑体" w:hAnsi="黑体" w:eastAsia="黑体"/>
                <w:b/>
                <w:i w:val="0"/>
                <w:color w:val="0B3A5C"/>
                <w:sz w:val="20"/>
              </w:rPr>
              <w:t>层级</w:t>
            </w:r>
          </w:p>
        </w:tc>
        <w:tc>
          <w:tcPr>
            <w:tcW w:type="dxa" w:w="2379"/>
          </w:tcPr>
          <w:p>
            <w:pPr>
              <w:jc w:val="center"/>
            </w:pPr>
            <w:r/>
            <w:r>
              <w:rPr>
                <w:rFonts w:ascii="黑体" w:hAnsi="黑体" w:eastAsia="黑体"/>
                <w:b/>
                <w:i w:val="0"/>
                <w:color w:val="0B3A5C"/>
                <w:sz w:val="20"/>
              </w:rPr>
              <w:t>工具 / 战略</w:t>
            </w:r>
          </w:p>
        </w:tc>
        <w:tc>
          <w:tcPr>
            <w:tcW w:type="dxa" w:w="2379"/>
          </w:tcPr>
          <w:p>
            <w:pPr>
              <w:jc w:val="center"/>
            </w:pPr>
            <w:r/>
            <w:r>
              <w:rPr>
                <w:rFonts w:ascii="黑体" w:hAnsi="黑体" w:eastAsia="黑体"/>
                <w:b/>
                <w:i w:val="0"/>
                <w:color w:val="0B3A5C"/>
                <w:sz w:val="20"/>
              </w:rPr>
              <w:t>发布时间</w:t>
            </w:r>
          </w:p>
        </w:tc>
        <w:tc>
          <w:tcPr>
            <w:tcW w:type="dxa" w:w="2379"/>
          </w:tcPr>
          <w:p>
            <w:pPr>
              <w:jc w:val="center"/>
            </w:pPr>
            <w:r/>
            <w:r>
              <w:rPr>
                <w:rFonts w:ascii="黑体" w:hAnsi="黑体" w:eastAsia="黑体"/>
                <w:b/>
                <w:i w:val="0"/>
                <w:color w:val="0B3A5C"/>
                <w:sz w:val="20"/>
              </w:rPr>
              <w:t>与机器人 / 具身智能的关系</w:t>
            </w:r>
          </w:p>
        </w:tc>
      </w:tr>
      <w:tr>
        <w:tc>
          <w:tcPr>
            <w:tcW w:type="dxa" w:w="2379"/>
          </w:tcPr>
          <w:p>
            <w:pPr>
              <w:jc w:val="center"/>
            </w:pPr>
            <w:r/>
            <w:r>
              <w:rPr>
                <w:rFonts w:ascii="宋体" w:hAnsi="宋体" w:eastAsia="宋体"/>
                <w:b w:val="0"/>
                <w:i w:val="0"/>
                <w:color w:val="1F2937"/>
                <w:sz w:val="19"/>
              </w:rPr>
              <w:t>顶层规划</w:t>
            </w:r>
          </w:p>
        </w:tc>
        <w:tc>
          <w:tcPr>
            <w:tcW w:type="dxa" w:w="2379"/>
          </w:tcPr>
          <w:p>
            <w:pPr>
              <w:jc w:val="center"/>
            </w:pPr>
            <w:r/>
            <w:r>
              <w:rPr>
                <w:rFonts w:ascii="宋体" w:hAnsi="宋体" w:eastAsia="宋体"/>
                <w:b w:val="0"/>
                <w:i w:val="0"/>
                <w:color w:val="1F2937"/>
                <w:sz w:val="19"/>
              </w:rPr>
              <w:t>Making Indonesia 4.0（五大优先领域、七大赋能技术）</w:t>
            </w:r>
          </w:p>
        </w:tc>
        <w:tc>
          <w:tcPr>
            <w:tcW w:type="dxa" w:w="2379"/>
          </w:tcPr>
          <w:p>
            <w:pPr>
              <w:jc w:val="center"/>
            </w:pPr>
            <w:r/>
            <w:r>
              <w:rPr>
                <w:rFonts w:ascii="宋体" w:hAnsi="宋体" w:eastAsia="宋体"/>
                <w:b w:val="0"/>
                <w:i w:val="0"/>
                <w:color w:val="1F2937"/>
                <w:sz w:val="19"/>
              </w:rPr>
              <w:t>2018</w:t>
            </w:r>
          </w:p>
        </w:tc>
        <w:tc>
          <w:tcPr>
            <w:tcW w:type="dxa" w:w="2379"/>
          </w:tcPr>
          <w:p>
            <w:pPr>
              <w:jc w:val="center"/>
            </w:pPr>
            <w:r/>
            <w:r>
              <w:rPr>
                <w:rFonts w:ascii="宋体" w:hAnsi="宋体" w:eastAsia="宋体"/>
                <w:b w:val="0"/>
                <w:i w:val="0"/>
                <w:color w:val="1F2937"/>
                <w:sz w:val="19"/>
              </w:rPr>
              <w:t>直接纳入『机器人与传感器技术』</w:t>
            </w:r>
          </w:p>
        </w:tc>
      </w:tr>
      <w:tr>
        <w:tc>
          <w:tcPr>
            <w:tcW w:type="dxa" w:w="2379"/>
          </w:tcPr>
          <w:p>
            <w:pPr>
              <w:jc w:val="center"/>
            </w:pPr>
            <w:r/>
            <w:r>
              <w:rPr>
                <w:rFonts w:ascii="宋体" w:hAnsi="宋体" w:eastAsia="宋体"/>
                <w:b w:val="0"/>
                <w:i w:val="0"/>
                <w:color w:val="1F2937"/>
                <w:sz w:val="19"/>
              </w:rPr>
              <w:t>评估工具</w:t>
            </w:r>
          </w:p>
        </w:tc>
        <w:tc>
          <w:tcPr>
            <w:tcW w:type="dxa" w:w="2379"/>
          </w:tcPr>
          <w:p>
            <w:pPr>
              <w:jc w:val="center"/>
            </w:pPr>
            <w:r/>
            <w:r>
              <w:rPr>
                <w:rFonts w:ascii="宋体" w:hAnsi="宋体" w:eastAsia="宋体"/>
                <w:b w:val="0"/>
                <w:i w:val="0"/>
                <w:color w:val="1F2937"/>
                <w:sz w:val="19"/>
              </w:rPr>
              <w:t>INDI 4.0（五支柱、评分 ≥3.0 认证）</w:t>
            </w:r>
          </w:p>
        </w:tc>
        <w:tc>
          <w:tcPr>
            <w:tcW w:type="dxa" w:w="2379"/>
          </w:tcPr>
          <w:p>
            <w:pPr>
              <w:jc w:val="center"/>
            </w:pPr>
            <w:r/>
            <w:r>
              <w:rPr>
                <w:rFonts w:ascii="宋体" w:hAnsi="宋体" w:eastAsia="宋体"/>
                <w:b w:val="0"/>
                <w:i w:val="0"/>
                <w:color w:val="1F2937"/>
                <w:sz w:val="19"/>
              </w:rPr>
              <w:t>2018–</w:t>
            </w:r>
          </w:p>
        </w:tc>
        <w:tc>
          <w:tcPr>
            <w:tcW w:type="dxa" w:w="2379"/>
          </w:tcPr>
          <w:p>
            <w:pPr>
              <w:jc w:val="center"/>
            </w:pPr>
            <w:r/>
            <w:r>
              <w:rPr>
                <w:rFonts w:ascii="宋体" w:hAnsi="宋体" w:eastAsia="宋体"/>
                <w:b w:val="0"/>
                <w:i w:val="0"/>
                <w:color w:val="1F2937"/>
                <w:sz w:val="19"/>
              </w:rPr>
              <w:t>驱动企业升级自动化</w:t>
            </w:r>
          </w:p>
        </w:tc>
      </w:tr>
      <w:tr>
        <w:tc>
          <w:tcPr>
            <w:tcW w:type="dxa" w:w="2379"/>
          </w:tcPr>
          <w:p>
            <w:pPr>
              <w:jc w:val="center"/>
            </w:pPr>
            <w:r/>
            <w:r>
              <w:rPr>
                <w:rFonts w:ascii="宋体" w:hAnsi="宋体" w:eastAsia="宋体"/>
                <w:b w:val="0"/>
                <w:i w:val="0"/>
                <w:color w:val="1F2937"/>
                <w:sz w:val="19"/>
              </w:rPr>
              <w:t>实施中心</w:t>
            </w:r>
          </w:p>
        </w:tc>
        <w:tc>
          <w:tcPr>
            <w:tcW w:type="dxa" w:w="2379"/>
          </w:tcPr>
          <w:p>
            <w:pPr>
              <w:jc w:val="center"/>
            </w:pPr>
            <w:r/>
            <w:r>
              <w:rPr>
                <w:rFonts w:ascii="宋体" w:hAnsi="宋体" w:eastAsia="宋体"/>
                <w:b w:val="0"/>
                <w:i w:val="0"/>
                <w:color w:val="1F2937"/>
                <w:sz w:val="19"/>
              </w:rPr>
              <w:t>PIDI 4.0（一站式培训 / 试点 / 国际合作）</w:t>
            </w:r>
          </w:p>
        </w:tc>
        <w:tc>
          <w:tcPr>
            <w:tcW w:type="dxa" w:w="2379"/>
          </w:tcPr>
          <w:p>
            <w:pPr>
              <w:jc w:val="center"/>
            </w:pPr>
            <w:r/>
            <w:r>
              <w:rPr>
                <w:rFonts w:ascii="宋体" w:hAnsi="宋体" w:eastAsia="宋体"/>
                <w:b w:val="0"/>
                <w:i w:val="0"/>
                <w:color w:val="1F2937"/>
                <w:sz w:val="19"/>
              </w:rPr>
              <w:t>2019</w:t>
            </w:r>
          </w:p>
        </w:tc>
        <w:tc>
          <w:tcPr>
            <w:tcW w:type="dxa" w:w="2379"/>
          </w:tcPr>
          <w:p>
            <w:pPr>
              <w:jc w:val="center"/>
            </w:pPr>
            <w:r/>
            <w:r>
              <w:rPr>
                <w:rFonts w:ascii="宋体" w:hAnsi="宋体" w:eastAsia="宋体"/>
                <w:b w:val="0"/>
                <w:i w:val="0"/>
                <w:color w:val="1F2937"/>
                <w:sz w:val="19"/>
              </w:rPr>
              <w:t>机器人与传感器是重点课程</w:t>
            </w:r>
          </w:p>
        </w:tc>
      </w:tr>
      <w:tr>
        <w:tc>
          <w:tcPr>
            <w:tcW w:type="dxa" w:w="2379"/>
          </w:tcPr>
          <w:p>
            <w:pPr>
              <w:jc w:val="center"/>
            </w:pPr>
            <w:r/>
            <w:r>
              <w:rPr>
                <w:rFonts w:ascii="宋体" w:hAnsi="宋体" w:eastAsia="宋体"/>
                <w:b w:val="0"/>
                <w:i w:val="0"/>
                <w:color w:val="1F2937"/>
                <w:sz w:val="19"/>
              </w:rPr>
              <w:t>工业化战略</w:t>
            </w:r>
          </w:p>
        </w:tc>
        <w:tc>
          <w:tcPr>
            <w:tcW w:type="dxa" w:w="2379"/>
          </w:tcPr>
          <w:p>
            <w:pPr>
              <w:jc w:val="center"/>
            </w:pPr>
            <w:r/>
            <w:r>
              <w:rPr>
                <w:rFonts w:ascii="宋体" w:hAnsi="宋体" w:eastAsia="宋体"/>
                <w:b w:val="0"/>
                <w:i w:val="0"/>
                <w:color w:val="1F2937"/>
                <w:sz w:val="19"/>
              </w:rPr>
              <w:t>SBIN + Asta Cita（八项使命）</w:t>
            </w:r>
          </w:p>
        </w:tc>
        <w:tc>
          <w:tcPr>
            <w:tcW w:type="dxa" w:w="2379"/>
          </w:tcPr>
          <w:p>
            <w:pPr>
              <w:jc w:val="center"/>
            </w:pPr>
            <w:r/>
            <w:r>
              <w:rPr>
                <w:rFonts w:ascii="宋体" w:hAnsi="宋体" w:eastAsia="宋体"/>
                <w:b w:val="0"/>
                <w:i w:val="0"/>
                <w:color w:val="1F2937"/>
                <w:sz w:val="19"/>
              </w:rPr>
              <w:t>2025</w:t>
            </w:r>
          </w:p>
        </w:tc>
        <w:tc>
          <w:tcPr>
            <w:tcW w:type="dxa" w:w="2379"/>
          </w:tcPr>
          <w:p>
            <w:pPr>
              <w:jc w:val="center"/>
            </w:pPr>
            <w:r/>
            <w:r>
              <w:rPr>
                <w:rFonts w:ascii="宋体" w:hAnsi="宋体" w:eastAsia="宋体"/>
                <w:b w:val="0"/>
                <w:i w:val="0"/>
                <w:color w:val="1F2937"/>
                <w:sz w:val="19"/>
              </w:rPr>
              <w:t>工业 4.0 加速 + 绿色工业化</w:t>
            </w:r>
          </w:p>
        </w:tc>
      </w:tr>
    </w:tbl>
    <w:p>
      <w:pPr>
        <w:spacing w:before="280" w:after="80"/>
      </w:pPr>
      <w:r>
        <w:rPr>
          <w:rFonts w:ascii="黑体" w:hAnsi="黑体" w:eastAsia="黑体"/>
          <w:b/>
          <w:i w:val="0"/>
          <w:color w:val="0B3A5C"/>
          <w:sz w:val="30"/>
        </w:rPr>
        <w:t>三、产业链地图：上游零部件、中游本体与集成、下游应用</w:t>
      </w:r>
    </w:p>
    <w:p>
      <w:pPr>
        <w:spacing w:line="408" w:lineRule="auto" w:after="120"/>
        <w:jc w:val="both"/>
      </w:pPr>
      <w:r>
        <w:rPr>
          <w:rFonts w:ascii="宋体" w:hAnsi="宋体" w:eastAsia="宋体"/>
          <w:b w:val="0"/>
          <w:i w:val="0"/>
          <w:color w:val="1F2937"/>
          <w:sz w:val="22"/>
        </w:rPr>
        <w:t>印尼工业机器人与具身智能产业链当前形态是『中下游应用强、上游核心零部件弱』。</w:t>
      </w:r>
    </w:p>
    <w:p>
      <w:pPr>
        <w:spacing w:before="200" w:after="40"/>
      </w:pPr>
      <w:r>
        <w:rPr>
          <w:rFonts w:ascii="黑体" w:hAnsi="黑体" w:eastAsia="黑体"/>
          <w:b/>
          <w:i w:val="0"/>
          <w:color w:val="0E7C8A"/>
          <w:sz w:val="25"/>
        </w:rPr>
        <w:t>3.1 上游：核心零部件</w:t>
      </w:r>
    </w:p>
    <w:p>
      <w:pPr>
        <w:spacing w:line="408" w:lineRule="auto" w:after="120"/>
        <w:jc w:val="both"/>
      </w:pPr>
      <w:r>
        <w:rPr>
          <w:rFonts w:ascii="宋体" w:hAnsi="宋体" w:eastAsia="宋体"/>
          <w:b w:val="0"/>
          <w:i w:val="0"/>
          <w:color w:val="1F2937"/>
          <w:sz w:val="22"/>
        </w:rPr>
        <w:t>印尼目前几乎不生产高精度伺服电机、RV 减速器、谐波减速器等核心零部件，主要从日本（松下、安川）、德国（西门子、博世力士乐）、中国（汇川、埃斯顿、台达）进口。传感器领域印尼有部分本地能力，但高端视觉传感器与力矩传感器仍依赖进口。P&amp;S Intelligence 2025 报告显示，2025 年印尼工业自动化市场中传感器占 35% 份额（最大），机器人本体仅占小份额但增速最快。</w:t>
      </w:r>
    </w:p>
    <w:p>
      <w:pPr>
        <w:spacing w:before="200" w:after="40"/>
      </w:pPr>
      <w:r>
        <w:rPr>
          <w:rFonts w:ascii="黑体" w:hAnsi="黑体" w:eastAsia="黑体"/>
          <w:b/>
          <w:i w:val="0"/>
          <w:color w:val="0E7C8A"/>
          <w:sz w:val="25"/>
        </w:rPr>
        <w:t>3.2 中游：本体 + 系统集成</w:t>
      </w:r>
    </w:p>
    <w:p>
      <w:pPr>
        <w:spacing w:line="408" w:lineRule="auto" w:after="120"/>
        <w:jc w:val="both"/>
      </w:pPr>
      <w:r>
        <w:rPr>
          <w:rFonts w:ascii="宋体" w:hAnsi="宋体" w:eastAsia="宋体"/>
          <w:b w:val="0"/>
          <w:i w:val="0"/>
          <w:color w:val="1F2937"/>
          <w:sz w:val="22"/>
        </w:rPr>
        <w:t>印尼的中游产业由两类企业组成：（1）外资品牌——日本 FANUC、Yaskawa、安川、不二越、德国 KUKA、瑞士 ABB、韩国 Doosan Robotics（协作机器人领先）等；（2）本地系统集成商——以中小型项目为主，集中在西爪哇（占印尼制造业活动 60%）、雅加达、Bekasi、Cikarang、万隆、Karawang、Surabaya。</w:t>
      </w:r>
    </w:p>
    <w:p>
      <w:pPr>
        <w:spacing w:after="160"/>
        <w:ind w:left="340" w:right="227"/>
      </w:pPr>
      <w:r>
        <w:rPr>
          <w:rFonts w:ascii="宋体" w:hAnsi="宋体" w:eastAsia="宋体"/>
          <w:b w:val="0"/>
          <w:i/>
          <w:color w:val="1F2937"/>
          <w:sz w:val="21"/>
        </w:rPr>
        <w:t>"本地系统集成商的成功壁垒不是技术，而是项目周期长、资金投入大、与客户长期共担试错成本。这是为什么中小型集成商更愿意做食品包装与电子装配，而不是汽车焊接。"——新思界产业研究中心 2025 报告</w:t>
      </w:r>
    </w:p>
    <w:p>
      <w:pPr>
        <w:spacing w:before="200" w:after="40"/>
      </w:pPr>
      <w:r>
        <w:rPr>
          <w:rFonts w:ascii="黑体" w:hAnsi="黑体" w:eastAsia="黑体"/>
          <w:b/>
          <w:i w:val="0"/>
          <w:color w:val="0E7C8A"/>
          <w:sz w:val="25"/>
        </w:rPr>
        <w:t>3.3 下游：应用领域与五大行业</w:t>
      </w:r>
    </w:p>
    <w:p>
      <w:pPr>
        <w:spacing w:line="408" w:lineRule="auto" w:after="120"/>
        <w:jc w:val="both"/>
      </w:pPr>
      <w:r>
        <w:rPr>
          <w:rFonts w:ascii="宋体" w:hAnsi="宋体" w:eastAsia="宋体"/>
          <w:b w:val="0"/>
          <w:i w:val="0"/>
          <w:color w:val="1F2937"/>
          <w:sz w:val="22"/>
        </w:rPr>
        <w:t>印尼工业机器人下游应用主要分布在五大领域：（1）汽车与组件——最大用户，PT Astra Daihatsu Motor（ADM）是印尼领先的机器视觉引导机器人用户；（2）电子与电气——西爪哇占印尼电子装配活动约 40%；（3）食品饮料与加工——过去两年机器人渗透率上升最快的行业；（4）化工与制药——SCADA 系统的成熟部署；（5）金属加工——尤其镍下游冶炼相关的高温与精密装配。</w:t>
      </w:r>
    </w:p>
    <w:p>
      <w:pPr>
        <w:spacing w:before="200" w:after="40"/>
      </w:pPr>
      <w:r>
        <w:rPr>
          <w:rFonts w:ascii="黑体" w:hAnsi="黑体" w:eastAsia="黑体"/>
          <w:b/>
          <w:i w:val="0"/>
          <w:color w:val="0E7C8A"/>
          <w:sz w:val="25"/>
        </w:rPr>
        <w:t>表 3：印尼工业机器人产业链分层（2024–2025）</w:t>
      </w:r>
    </w:p>
    <w:tbl>
      <w:tblPr>
        <w:tblStyle w:val="LightGrid-Accent1"/>
        <w:tblW w:type="auto" w:w="0"/>
        <w:tblLook w:firstColumn="1" w:firstRow="1" w:lastColumn="0" w:lastRow="0" w:noHBand="0" w:noVBand="1" w:val="04A0"/>
      </w:tblPr>
      <w:tblGrid>
        <w:gridCol w:w="1904"/>
        <w:gridCol w:w="1904"/>
        <w:gridCol w:w="1904"/>
        <w:gridCol w:w="1904"/>
        <w:gridCol w:w="1904"/>
      </w:tblGrid>
      <w:tr>
        <w:tc>
          <w:tcPr>
            <w:tcW w:type="dxa" w:w="1904"/>
          </w:tcPr>
          <w:p>
            <w:pPr>
              <w:jc w:val="center"/>
            </w:pPr>
            <w:r/>
            <w:r>
              <w:rPr>
                <w:rFonts w:ascii="黑体" w:hAnsi="黑体" w:eastAsia="黑体"/>
                <w:b/>
                <w:i w:val="0"/>
                <w:color w:val="0B3A5C"/>
                <w:sz w:val="20"/>
              </w:rPr>
              <w:t>层级</w:t>
            </w:r>
          </w:p>
        </w:tc>
        <w:tc>
          <w:tcPr>
            <w:tcW w:type="dxa" w:w="1904"/>
          </w:tcPr>
          <w:p>
            <w:pPr>
              <w:jc w:val="center"/>
            </w:pPr>
            <w:r/>
            <w:r>
              <w:rPr>
                <w:rFonts w:ascii="黑体" w:hAnsi="黑体" w:eastAsia="黑体"/>
                <w:b/>
                <w:i w:val="0"/>
                <w:color w:val="0B3A5C"/>
                <w:sz w:val="20"/>
              </w:rPr>
              <w:t>主要供应方</w:t>
            </w:r>
          </w:p>
        </w:tc>
        <w:tc>
          <w:tcPr>
            <w:tcW w:type="dxa" w:w="1904"/>
          </w:tcPr>
          <w:p>
            <w:pPr>
              <w:jc w:val="center"/>
            </w:pPr>
            <w:r/>
            <w:r>
              <w:rPr>
                <w:rFonts w:ascii="黑体" w:hAnsi="黑体" w:eastAsia="黑体"/>
                <w:b/>
                <w:i w:val="0"/>
                <w:color w:val="0B3A5C"/>
                <w:sz w:val="20"/>
              </w:rPr>
              <w:t>本地化能力</w:t>
            </w:r>
          </w:p>
        </w:tc>
        <w:tc>
          <w:tcPr>
            <w:tcW w:type="dxa" w:w="1904"/>
          </w:tcPr>
          <w:p>
            <w:pPr>
              <w:jc w:val="center"/>
            </w:pPr>
            <w:r/>
            <w:r>
              <w:rPr>
                <w:rFonts w:ascii="黑体" w:hAnsi="黑体" w:eastAsia="黑体"/>
                <w:b/>
                <w:i w:val="0"/>
                <w:color w:val="0B3A5C"/>
                <w:sz w:val="20"/>
              </w:rPr>
              <w:t>占自动化市场份额</w:t>
            </w:r>
          </w:p>
        </w:tc>
        <w:tc>
          <w:tcPr>
            <w:tcW w:type="dxa" w:w="1904"/>
          </w:tcPr>
          <w:p>
            <w:pPr>
              <w:jc w:val="center"/>
            </w:pPr>
            <w:r/>
            <w:r>
              <w:rPr>
                <w:rFonts w:ascii="黑体" w:hAnsi="黑体" w:eastAsia="黑体"/>
                <w:b/>
                <w:i w:val="0"/>
                <w:color w:val="0B3A5C"/>
                <w:sz w:val="20"/>
              </w:rPr>
              <w:t>机器人增量市场</w:t>
            </w:r>
          </w:p>
        </w:tc>
      </w:tr>
      <w:tr>
        <w:tc>
          <w:tcPr>
            <w:tcW w:type="dxa" w:w="1904"/>
          </w:tcPr>
          <w:p>
            <w:pPr>
              <w:jc w:val="center"/>
            </w:pPr>
            <w:r/>
            <w:r>
              <w:rPr>
                <w:rFonts w:ascii="宋体" w:hAnsi="宋体" w:eastAsia="宋体"/>
                <w:b w:val="0"/>
                <w:i w:val="0"/>
                <w:color w:val="1F2937"/>
                <w:sz w:val="19"/>
              </w:rPr>
              <w:t>上游核心零部件</w:t>
            </w:r>
          </w:p>
        </w:tc>
        <w:tc>
          <w:tcPr>
            <w:tcW w:type="dxa" w:w="1904"/>
          </w:tcPr>
          <w:p>
            <w:pPr>
              <w:jc w:val="center"/>
            </w:pPr>
            <w:r/>
            <w:r>
              <w:rPr>
                <w:rFonts w:ascii="宋体" w:hAnsi="宋体" w:eastAsia="宋体"/>
                <w:b w:val="0"/>
                <w:i w:val="0"/>
                <w:color w:val="1F2937"/>
                <w:sz w:val="19"/>
              </w:rPr>
              <w:t>日韩中进口为主</w:t>
            </w:r>
          </w:p>
        </w:tc>
        <w:tc>
          <w:tcPr>
            <w:tcW w:type="dxa" w:w="1904"/>
          </w:tcPr>
          <w:p>
            <w:pPr>
              <w:jc w:val="center"/>
            </w:pPr>
            <w:r/>
            <w:r>
              <w:rPr>
                <w:rFonts w:ascii="宋体" w:hAnsi="宋体" w:eastAsia="宋体"/>
                <w:b w:val="0"/>
                <w:i w:val="0"/>
                <w:color w:val="1F2937"/>
                <w:sz w:val="19"/>
              </w:rPr>
              <w:t>极弱</w:t>
            </w:r>
          </w:p>
        </w:tc>
        <w:tc>
          <w:tcPr>
            <w:tcW w:type="dxa" w:w="1904"/>
          </w:tcPr>
          <w:p>
            <w:pPr>
              <w:jc w:val="center"/>
            </w:pPr>
            <w:r/>
            <w:r>
              <w:rPr>
                <w:rFonts w:ascii="宋体" w:hAnsi="宋体" w:eastAsia="宋体"/>
                <w:b w:val="0"/>
                <w:i w:val="0"/>
                <w:color w:val="1F2937"/>
                <w:sz w:val="19"/>
              </w:rPr>
              <w:t>传感器 35%（最大类）</w:t>
            </w:r>
          </w:p>
        </w:tc>
        <w:tc>
          <w:tcPr>
            <w:tcW w:type="dxa" w:w="1904"/>
          </w:tcPr>
          <w:p>
            <w:pPr>
              <w:jc w:val="center"/>
            </w:pPr>
            <w:r/>
            <w:r>
              <w:rPr>
                <w:rFonts w:ascii="宋体" w:hAnsi="宋体" w:eastAsia="宋体"/>
                <w:b w:val="0"/>
                <w:i w:val="0"/>
                <w:color w:val="1F2937"/>
                <w:sz w:val="19"/>
              </w:rPr>
              <w:t>高速（CAGR 12%）</w:t>
            </w:r>
          </w:p>
        </w:tc>
      </w:tr>
      <w:tr>
        <w:tc>
          <w:tcPr>
            <w:tcW w:type="dxa" w:w="1904"/>
          </w:tcPr>
          <w:p>
            <w:pPr>
              <w:jc w:val="center"/>
            </w:pPr>
            <w:r/>
            <w:r>
              <w:rPr>
                <w:rFonts w:ascii="宋体" w:hAnsi="宋体" w:eastAsia="宋体"/>
                <w:b w:val="0"/>
                <w:i w:val="0"/>
                <w:color w:val="1F2937"/>
                <w:sz w:val="19"/>
              </w:rPr>
              <w:t>中游本体 + 集成</w:t>
            </w:r>
          </w:p>
        </w:tc>
        <w:tc>
          <w:tcPr>
            <w:tcW w:type="dxa" w:w="1904"/>
          </w:tcPr>
          <w:p>
            <w:pPr>
              <w:jc w:val="center"/>
            </w:pPr>
            <w:r/>
            <w:r>
              <w:rPr>
                <w:rFonts w:ascii="宋体" w:hAnsi="宋体" w:eastAsia="宋体"/>
                <w:b w:val="0"/>
                <w:i w:val="0"/>
                <w:color w:val="1F2937"/>
                <w:sz w:val="19"/>
              </w:rPr>
              <w:t>ABB / Yaskawa / FANUC / KUKA / Doosan + 本地集成商</w:t>
            </w:r>
          </w:p>
        </w:tc>
        <w:tc>
          <w:tcPr>
            <w:tcW w:type="dxa" w:w="1904"/>
          </w:tcPr>
          <w:p>
            <w:pPr>
              <w:jc w:val="center"/>
            </w:pPr>
            <w:r/>
            <w:r>
              <w:rPr>
                <w:rFonts w:ascii="宋体" w:hAnsi="宋体" w:eastAsia="宋体"/>
                <w:b w:val="0"/>
                <w:i w:val="0"/>
                <w:color w:val="1F2937"/>
                <w:sz w:val="19"/>
              </w:rPr>
              <w:t>中等</w:t>
            </w:r>
          </w:p>
        </w:tc>
        <w:tc>
          <w:tcPr>
            <w:tcW w:type="dxa" w:w="1904"/>
          </w:tcPr>
          <w:p>
            <w:pPr>
              <w:jc w:val="center"/>
            </w:pPr>
            <w:r/>
            <w:r>
              <w:rPr>
                <w:rFonts w:ascii="宋体" w:hAnsi="宋体" w:eastAsia="宋体"/>
                <w:b w:val="0"/>
                <w:i w:val="0"/>
                <w:color w:val="1F2937"/>
                <w:sz w:val="19"/>
              </w:rPr>
              <w:t>SCADA 40%（最大），PLC 增速最快</w:t>
            </w:r>
          </w:p>
        </w:tc>
        <w:tc>
          <w:tcPr>
            <w:tcW w:type="dxa" w:w="1904"/>
          </w:tcPr>
          <w:p>
            <w:pPr>
              <w:jc w:val="center"/>
            </w:pPr>
            <w:r/>
            <w:r>
              <w:rPr>
                <w:rFonts w:ascii="宋体" w:hAnsi="宋体" w:eastAsia="宋体"/>
                <w:b w:val="0"/>
                <w:i w:val="0"/>
                <w:color w:val="1F2937"/>
                <w:sz w:val="19"/>
              </w:rPr>
              <w:t>工业机器人 CAGR 14.94%</w:t>
            </w:r>
          </w:p>
        </w:tc>
      </w:tr>
      <w:tr>
        <w:tc>
          <w:tcPr>
            <w:tcW w:type="dxa" w:w="1904"/>
          </w:tcPr>
          <w:p>
            <w:pPr>
              <w:jc w:val="center"/>
            </w:pPr>
            <w:r/>
            <w:r>
              <w:rPr>
                <w:rFonts w:ascii="宋体" w:hAnsi="宋体" w:eastAsia="宋体"/>
                <w:b w:val="0"/>
                <w:i w:val="0"/>
                <w:color w:val="1F2937"/>
                <w:sz w:val="19"/>
              </w:rPr>
              <w:t>下游应用</w:t>
            </w:r>
          </w:p>
        </w:tc>
        <w:tc>
          <w:tcPr>
            <w:tcW w:type="dxa" w:w="1904"/>
          </w:tcPr>
          <w:p>
            <w:pPr>
              <w:jc w:val="center"/>
            </w:pPr>
            <w:r/>
            <w:r>
              <w:rPr>
                <w:rFonts w:ascii="宋体" w:hAnsi="宋体" w:eastAsia="宋体"/>
                <w:b w:val="0"/>
                <w:i w:val="0"/>
                <w:color w:val="1F2937"/>
                <w:sz w:val="19"/>
              </w:rPr>
              <w:t>汽车 / 电子 / 食品饮料 / 化工 / 金属</w:t>
            </w:r>
          </w:p>
        </w:tc>
        <w:tc>
          <w:tcPr>
            <w:tcW w:type="dxa" w:w="1904"/>
          </w:tcPr>
          <w:p>
            <w:pPr>
              <w:jc w:val="center"/>
            </w:pPr>
            <w:r/>
            <w:r>
              <w:rPr>
                <w:rFonts w:ascii="宋体" w:hAnsi="宋体" w:eastAsia="宋体"/>
                <w:b w:val="0"/>
                <w:i w:val="0"/>
                <w:color w:val="1F2937"/>
                <w:sz w:val="19"/>
              </w:rPr>
              <w:t>强</w:t>
            </w:r>
          </w:p>
        </w:tc>
        <w:tc>
          <w:tcPr>
            <w:tcW w:type="dxa" w:w="1904"/>
          </w:tcPr>
          <w:p>
            <w:pPr>
              <w:jc w:val="center"/>
            </w:pPr>
            <w:r/>
            <w:r>
              <w:rPr>
                <w:rFonts w:ascii="宋体" w:hAnsi="宋体" w:eastAsia="宋体"/>
                <w:b w:val="0"/>
                <w:i w:val="0"/>
                <w:color w:val="1F2937"/>
                <w:sz w:val="19"/>
              </w:rPr>
              <w:t>制造部门占自动化下游 25%</w:t>
            </w:r>
          </w:p>
        </w:tc>
        <w:tc>
          <w:tcPr>
            <w:tcW w:type="dxa" w:w="1904"/>
          </w:tcPr>
          <w:p>
            <w:pPr>
              <w:jc w:val="center"/>
            </w:pPr>
            <w:r/>
            <w:r>
              <w:rPr>
                <w:rFonts w:ascii="宋体" w:hAnsi="宋体" w:eastAsia="宋体"/>
                <w:b w:val="0"/>
                <w:i w:val="0"/>
                <w:color w:val="1F2937"/>
                <w:sz w:val="19"/>
              </w:rPr>
              <w:t>AI 结合型机器人 CAGR 25.7%</w:t>
            </w:r>
          </w:p>
        </w:tc>
      </w:tr>
    </w:tbl>
    <w:p>
      <w:pPr>
        <w:spacing w:after="120"/>
      </w:pPr>
      <w:r>
        <w:rPr>
          <w:rFonts w:ascii="宋体" w:hAnsi="宋体" w:eastAsia="宋体"/>
          <w:b w:val="0"/>
          <w:i w:val="0"/>
          <w:color w:val="4B5563"/>
          <w:sz w:val="18"/>
        </w:rPr>
        <w:t>注：上游份额为 P&amp;S Intelligence 2025 印尼市场口径；中游 SCADA 与 PLC 数据为同期；下游应用以 IFR 全球 + 印尼工业部 INDI 4.0 认证名单交叉。</w:t>
      </w:r>
    </w:p>
    <w:p>
      <w:pPr>
        <w:spacing w:before="280" w:after="80"/>
      </w:pPr>
      <w:r>
        <w:rPr>
          <w:rFonts w:ascii="黑体" w:hAnsi="黑体" w:eastAsia="黑体"/>
          <w:b/>
          <w:i w:val="0"/>
          <w:color w:val="0B3A5C"/>
          <w:sz w:val="30"/>
        </w:rPr>
        <w:t>四、头部企业案例：从外资 OEM 到本地集成的多线观察</w:t>
      </w:r>
    </w:p>
    <w:p>
      <w:pPr>
        <w:spacing w:before="200" w:after="40"/>
      </w:pPr>
      <w:r>
        <w:rPr>
          <w:rFonts w:ascii="黑体" w:hAnsi="黑体" w:eastAsia="黑体"/>
          <w:b/>
          <w:i w:val="0"/>
          <w:color w:val="0E7C8A"/>
          <w:sz w:val="25"/>
        </w:rPr>
        <w:t>4.1 PT Astra Daihatsu Motor（ADM）：机器视觉引导机器人的标杆</w:t>
      </w:r>
    </w:p>
    <w:p>
      <w:pPr>
        <w:spacing w:line="408" w:lineRule="auto" w:after="120"/>
        <w:jc w:val="both"/>
      </w:pPr>
      <w:r>
        <w:rPr>
          <w:rFonts w:ascii="宋体" w:hAnsi="宋体" w:eastAsia="宋体"/>
          <w:b w:val="0"/>
          <w:i w:val="0"/>
          <w:color w:val="1F2937"/>
          <w:sz w:val="22"/>
        </w:rPr>
        <w:t>ADM 是印尼 Daihatsu 品牌持有人，与日本 Daihatsu 合作运营。它在 2024–2025 年公开案例中被点名为印尼机器视觉与视觉引导装配的典型用户，对应印尼 INDI 4.0 评估『技术』支柱的高分案例。</w:t>
      </w:r>
    </w:p>
    <w:p>
      <w:pPr>
        <w:spacing w:before="200" w:after="40"/>
      </w:pPr>
      <w:r>
        <w:rPr>
          <w:rFonts w:ascii="黑体" w:hAnsi="黑体" w:eastAsia="黑体"/>
          <w:b/>
          <w:i w:val="0"/>
          <w:color w:val="0E7C8A"/>
          <w:sz w:val="25"/>
        </w:rPr>
        <w:t>4.2 PT Isuzu Astra Motor Indonesia（IAMI）：商用车 INDI 4.0 首家</w:t>
      </w:r>
    </w:p>
    <w:p>
      <w:pPr>
        <w:spacing w:line="408" w:lineRule="auto" w:after="120"/>
        <w:jc w:val="both"/>
      </w:pPr>
      <w:r>
        <w:rPr>
          <w:rFonts w:ascii="宋体" w:hAnsi="宋体" w:eastAsia="宋体"/>
          <w:b w:val="0"/>
          <w:i w:val="0"/>
          <w:color w:val="1F2937"/>
          <w:sz w:val="22"/>
        </w:rPr>
        <w:t>IAMI 是印尼五十铃品牌持有人，于 2024 年 6 月获 INDI 4.0 证书，成为印尼商用车领域首家获认证的企业；2024 年 10 月又获 INDI 4.0 智能工厂类别奖项。IAMI 总裁 Yusak Kristian 表示："IAMI 的目标是成为世界级制造商的愿景接近现实『，是国家』灯塔工厂"路径的代表性企业。</w:t>
      </w:r>
    </w:p>
    <w:p>
      <w:pPr>
        <w:spacing w:before="200" w:after="40"/>
      </w:pPr>
      <w:r>
        <w:rPr>
          <w:rFonts w:ascii="黑体" w:hAnsi="黑体" w:eastAsia="黑体"/>
          <w:b/>
          <w:i w:val="0"/>
          <w:color w:val="0E7C8A"/>
          <w:sz w:val="25"/>
        </w:rPr>
        <w:t>4.3 Doosan Robotics：协作机器人在印尼的扩张</w:t>
      </w:r>
    </w:p>
    <w:p>
      <w:pPr>
        <w:spacing w:line="408" w:lineRule="auto" w:after="120"/>
        <w:jc w:val="both"/>
      </w:pPr>
      <w:r>
        <w:rPr>
          <w:rFonts w:ascii="宋体" w:hAnsi="宋体" w:eastAsia="宋体"/>
          <w:b w:val="0"/>
          <w:i w:val="0"/>
          <w:color w:val="1F2937"/>
          <w:sz w:val="22"/>
        </w:rPr>
        <w:t>韩国 Doosan Robotics 是全球协作机器人（cobot）领先品牌，2024 年起在印尼市场积极扩张，部署在需要精度与灵活性的精密装配场景。协作机器人是中游本体与本地集成商的关键接口——单价 1–5 万美元、部署周期短、对安全护栏要求低、对中小批量与柔性生产友好。</w:t>
      </w:r>
    </w:p>
    <w:p>
      <w:pPr>
        <w:spacing w:before="200" w:after="40"/>
      </w:pPr>
      <w:r>
        <w:rPr>
          <w:rFonts w:ascii="黑体" w:hAnsi="黑体" w:eastAsia="黑体"/>
          <w:b/>
          <w:i w:val="0"/>
          <w:color w:val="0E7C8A"/>
          <w:sz w:val="25"/>
        </w:rPr>
        <w:t>4.4 中资机器人厂商在印尼的早期布局</w:t>
      </w:r>
    </w:p>
    <w:p>
      <w:pPr>
        <w:spacing w:line="408" w:lineRule="auto" w:after="120"/>
        <w:jc w:val="both"/>
      </w:pPr>
      <w:r>
        <w:rPr>
          <w:rFonts w:ascii="宋体" w:hAnsi="宋体" w:eastAsia="宋体"/>
          <w:b w:val="0"/>
          <w:i w:val="0"/>
          <w:color w:val="1F2937"/>
          <w:sz w:val="22"/>
        </w:rPr>
        <w:t>中国具身智能与机器人产业出海正处于规模化早期，印尼是仅次于越南、泰国的目标市场。具体观察：（1）服务机器人已在印尼雅加达、巴厘岛的酒店与商场部署，普渡、擎朗、穿山甲等品牌均有渠道；（2）工业机器人侧，汇川、埃斯顿、台达以零部件与小型 PLC 进入印尼市场；（3）人形机器人目前主要是教育与展示用途，UBTECH 等品牌与印尼高校有早期合作。新经济导刊（2025）评论："东南亚增长最为迅猛，以越南为首，泰国、印尼、马来西亚紧随其后。"</w:t>
      </w:r>
    </w:p>
    <w:p>
      <w:pPr>
        <w:spacing w:before="200" w:after="40"/>
      </w:pPr>
      <w:r>
        <w:rPr>
          <w:rFonts w:ascii="黑体" w:hAnsi="黑体" w:eastAsia="黑体"/>
          <w:b/>
          <w:i w:val="0"/>
          <w:color w:val="0E7C8A"/>
          <w:sz w:val="25"/>
        </w:rPr>
        <w:t>4.5 本地视角的 Morowali 与 Batang：工业 4.0 的两个样板</w:t>
      </w:r>
    </w:p>
    <w:p>
      <w:pPr>
        <w:spacing w:line="408" w:lineRule="auto" w:after="120"/>
        <w:jc w:val="both"/>
      </w:pPr>
      <w:r>
        <w:rPr>
          <w:rFonts w:ascii="宋体" w:hAnsi="宋体" w:eastAsia="宋体"/>
          <w:b w:val="0"/>
          <w:i w:val="0"/>
          <w:color w:val="1F2937"/>
          <w:sz w:val="22"/>
        </w:rPr>
        <w:t>（1）Morowali Industrial Estate（中苏拉威西）。由青山集团与印尼 Bintang Delapan 合资，是下游化镍 + 不锈钢 + 电池前驱体的核心园区。它的高端制造能力体现在 RKEF（回转窑电炉）+ HPAL（高压酸浸）+ 自动化包装 + 港口物流四段同步自动化。SBIN 部长演讲中直接以 Morowali 作为『全球竞争力的工业中心』代表。</w:t>
      </w:r>
    </w:p>
    <w:p>
      <w:pPr>
        <w:spacing w:line="408" w:lineRule="auto" w:after="120"/>
        <w:jc w:val="both"/>
      </w:pPr>
      <w:r>
        <w:rPr>
          <w:rFonts w:ascii="宋体" w:hAnsi="宋体" w:eastAsia="宋体"/>
          <w:b w:val="0"/>
          <w:i w:val="0"/>
          <w:color w:val="1F2937"/>
          <w:sz w:val="22"/>
        </w:rPr>
        <w:t>（2）Batang Industrial Estate（中爪哇）。由印尼工业部作为『生态现代化』试点，强制要求废水再利用、能效改进、工业共生。这里的机器人部署更多是消费品制造，自动化以『低能耗、低排放、高单位产值』为目标，与 Morowali 的重工业自动化是两种高端制造场景。</w:t>
      </w:r>
    </w:p>
    <w:p>
      <w:pPr>
        <w:spacing w:before="200" w:after="40"/>
      </w:pPr>
      <w:r>
        <w:rPr>
          <w:rFonts w:ascii="黑体" w:hAnsi="黑体" w:eastAsia="黑体"/>
          <w:b/>
          <w:i w:val="0"/>
          <w:color w:val="0E7C8A"/>
          <w:sz w:val="25"/>
        </w:rPr>
        <w:t>表 4：印尼工业机器人与具身智能产业链头部企业图谱（2025）</w:t>
      </w:r>
    </w:p>
    <w:tbl>
      <w:tblPr>
        <w:tblStyle w:val="LightGrid-Accent1"/>
        <w:tblW w:type="auto" w:w="0"/>
        <w:tblLook w:firstColumn="1" w:firstRow="1" w:lastColumn="0" w:lastRow="0" w:noHBand="0" w:noVBand="1" w:val="04A0"/>
      </w:tblPr>
      <w:tblGrid>
        <w:gridCol w:w="2379"/>
        <w:gridCol w:w="2379"/>
        <w:gridCol w:w="2379"/>
        <w:gridCol w:w="2379"/>
      </w:tblGrid>
      <w:tr>
        <w:tc>
          <w:tcPr>
            <w:tcW w:type="dxa" w:w="2379"/>
          </w:tcPr>
          <w:p>
            <w:pPr>
              <w:jc w:val="center"/>
            </w:pPr>
            <w:r/>
            <w:r>
              <w:rPr>
                <w:rFonts w:ascii="黑体" w:hAnsi="黑体" w:eastAsia="黑体"/>
                <w:b/>
                <w:i w:val="0"/>
                <w:color w:val="0B3A5C"/>
                <w:sz w:val="20"/>
              </w:rPr>
              <w:t>主体</w:t>
            </w:r>
          </w:p>
        </w:tc>
        <w:tc>
          <w:tcPr>
            <w:tcW w:type="dxa" w:w="2379"/>
          </w:tcPr>
          <w:p>
            <w:pPr>
              <w:jc w:val="center"/>
            </w:pPr>
            <w:r/>
            <w:r>
              <w:rPr>
                <w:rFonts w:ascii="黑体" w:hAnsi="黑体" w:eastAsia="黑体"/>
                <w:b/>
                <w:i w:val="0"/>
                <w:color w:val="0B3A5C"/>
                <w:sz w:val="20"/>
              </w:rPr>
              <w:t>类别</w:t>
            </w:r>
          </w:p>
        </w:tc>
        <w:tc>
          <w:tcPr>
            <w:tcW w:type="dxa" w:w="2379"/>
          </w:tcPr>
          <w:p>
            <w:pPr>
              <w:jc w:val="center"/>
            </w:pPr>
            <w:r/>
            <w:r>
              <w:rPr>
                <w:rFonts w:ascii="黑体" w:hAnsi="黑体" w:eastAsia="黑体"/>
                <w:b/>
                <w:i w:val="0"/>
                <w:color w:val="0B3A5C"/>
                <w:sz w:val="20"/>
              </w:rPr>
              <w:t>市场 / 部署</w:t>
            </w:r>
          </w:p>
        </w:tc>
        <w:tc>
          <w:tcPr>
            <w:tcW w:type="dxa" w:w="2379"/>
          </w:tcPr>
          <w:p>
            <w:pPr>
              <w:jc w:val="center"/>
            </w:pPr>
            <w:r/>
            <w:r>
              <w:rPr>
                <w:rFonts w:ascii="黑体" w:hAnsi="黑体" w:eastAsia="黑体"/>
                <w:b/>
                <w:i w:val="0"/>
                <w:color w:val="0B3A5C"/>
                <w:sz w:val="20"/>
              </w:rPr>
              <w:t>本地视角价值</w:t>
            </w:r>
          </w:p>
        </w:tc>
      </w:tr>
      <w:tr>
        <w:tc>
          <w:tcPr>
            <w:tcW w:type="dxa" w:w="2379"/>
          </w:tcPr>
          <w:p>
            <w:pPr>
              <w:jc w:val="center"/>
            </w:pPr>
            <w:r/>
            <w:r>
              <w:rPr>
                <w:rFonts w:ascii="宋体" w:hAnsi="宋体" w:eastAsia="宋体"/>
                <w:b w:val="0"/>
                <w:i w:val="0"/>
                <w:color w:val="1F2937"/>
                <w:sz w:val="19"/>
              </w:rPr>
              <w:t>PT Astra Daihatsu Motor</w:t>
            </w:r>
          </w:p>
        </w:tc>
        <w:tc>
          <w:tcPr>
            <w:tcW w:type="dxa" w:w="2379"/>
          </w:tcPr>
          <w:p>
            <w:pPr>
              <w:jc w:val="center"/>
            </w:pPr>
            <w:r/>
            <w:r>
              <w:rPr>
                <w:rFonts w:ascii="宋体" w:hAnsi="宋体" w:eastAsia="宋体"/>
                <w:b w:val="0"/>
                <w:i w:val="0"/>
                <w:color w:val="1F2937"/>
                <w:sz w:val="19"/>
              </w:rPr>
              <w:t>本地 OEM（机器视觉装配）</w:t>
            </w:r>
          </w:p>
        </w:tc>
        <w:tc>
          <w:tcPr>
            <w:tcW w:type="dxa" w:w="2379"/>
          </w:tcPr>
          <w:p>
            <w:pPr>
              <w:jc w:val="center"/>
            </w:pPr>
            <w:r/>
            <w:r>
              <w:rPr>
                <w:rFonts w:ascii="宋体" w:hAnsi="宋体" w:eastAsia="宋体"/>
                <w:b w:val="0"/>
                <w:i w:val="0"/>
                <w:color w:val="1F2937"/>
                <w:sz w:val="19"/>
              </w:rPr>
              <w:t>全国（西爪哇为主）</w:t>
            </w:r>
          </w:p>
        </w:tc>
        <w:tc>
          <w:tcPr>
            <w:tcW w:type="dxa" w:w="2379"/>
          </w:tcPr>
          <w:p>
            <w:pPr>
              <w:jc w:val="center"/>
            </w:pPr>
            <w:r/>
            <w:r>
              <w:rPr>
                <w:rFonts w:ascii="宋体" w:hAnsi="宋体" w:eastAsia="宋体"/>
                <w:b w:val="0"/>
                <w:i w:val="0"/>
                <w:color w:val="1F2937"/>
                <w:sz w:val="19"/>
              </w:rPr>
              <w:t>INDI 4.0 技术高分案例</w:t>
            </w:r>
          </w:p>
        </w:tc>
      </w:tr>
      <w:tr>
        <w:tc>
          <w:tcPr>
            <w:tcW w:type="dxa" w:w="2379"/>
          </w:tcPr>
          <w:p>
            <w:pPr>
              <w:jc w:val="center"/>
            </w:pPr>
            <w:r/>
            <w:r>
              <w:rPr>
                <w:rFonts w:ascii="宋体" w:hAnsi="宋体" w:eastAsia="宋体"/>
                <w:b w:val="0"/>
                <w:i w:val="0"/>
                <w:color w:val="1F2937"/>
                <w:sz w:val="19"/>
              </w:rPr>
              <w:t>PT Isuzu Astra Motor Indonesia（IAMI）</w:t>
            </w:r>
          </w:p>
        </w:tc>
        <w:tc>
          <w:tcPr>
            <w:tcW w:type="dxa" w:w="2379"/>
          </w:tcPr>
          <w:p>
            <w:pPr>
              <w:jc w:val="center"/>
            </w:pPr>
            <w:r/>
            <w:r>
              <w:rPr>
                <w:rFonts w:ascii="宋体" w:hAnsi="宋体" w:eastAsia="宋体"/>
                <w:b w:val="0"/>
                <w:i w:val="0"/>
                <w:color w:val="1F2937"/>
                <w:sz w:val="19"/>
              </w:rPr>
              <w:t>本地 OEM（数字化装配）</w:t>
            </w:r>
          </w:p>
        </w:tc>
        <w:tc>
          <w:tcPr>
            <w:tcW w:type="dxa" w:w="2379"/>
          </w:tcPr>
          <w:p>
            <w:pPr>
              <w:jc w:val="center"/>
            </w:pPr>
            <w:r/>
            <w:r>
              <w:rPr>
                <w:rFonts w:ascii="宋体" w:hAnsi="宋体" w:eastAsia="宋体"/>
                <w:b w:val="0"/>
                <w:i w:val="0"/>
                <w:color w:val="1F2937"/>
                <w:sz w:val="19"/>
              </w:rPr>
              <w:t>全国</w:t>
            </w:r>
          </w:p>
        </w:tc>
        <w:tc>
          <w:tcPr>
            <w:tcW w:type="dxa" w:w="2379"/>
          </w:tcPr>
          <w:p>
            <w:pPr>
              <w:jc w:val="center"/>
            </w:pPr>
            <w:r/>
            <w:r>
              <w:rPr>
                <w:rFonts w:ascii="宋体" w:hAnsi="宋体" w:eastAsia="宋体"/>
                <w:b w:val="0"/>
                <w:i w:val="0"/>
                <w:color w:val="1F2937"/>
                <w:sz w:val="19"/>
              </w:rPr>
              <w:t>商用车 INDI 4.0 首家 + 智能工厂奖</w:t>
            </w:r>
          </w:p>
        </w:tc>
      </w:tr>
      <w:tr>
        <w:tc>
          <w:tcPr>
            <w:tcW w:type="dxa" w:w="2379"/>
          </w:tcPr>
          <w:p>
            <w:pPr>
              <w:jc w:val="center"/>
            </w:pPr>
            <w:r/>
            <w:r>
              <w:rPr>
                <w:rFonts w:ascii="宋体" w:hAnsi="宋体" w:eastAsia="宋体"/>
                <w:b w:val="0"/>
                <w:i w:val="0"/>
                <w:color w:val="1F2937"/>
                <w:sz w:val="19"/>
              </w:rPr>
              <w:t>Doosan Robotics（韩国）</w:t>
            </w:r>
          </w:p>
        </w:tc>
        <w:tc>
          <w:tcPr>
            <w:tcW w:type="dxa" w:w="2379"/>
          </w:tcPr>
          <w:p>
            <w:pPr>
              <w:jc w:val="center"/>
            </w:pPr>
            <w:r/>
            <w:r>
              <w:rPr>
                <w:rFonts w:ascii="宋体" w:hAnsi="宋体" w:eastAsia="宋体"/>
                <w:b w:val="0"/>
                <w:i w:val="0"/>
                <w:color w:val="1F2937"/>
                <w:sz w:val="19"/>
              </w:rPr>
              <w:t>外资本体（协作机器人）</w:t>
            </w:r>
          </w:p>
        </w:tc>
        <w:tc>
          <w:tcPr>
            <w:tcW w:type="dxa" w:w="2379"/>
          </w:tcPr>
          <w:p>
            <w:pPr>
              <w:jc w:val="center"/>
            </w:pPr>
            <w:r/>
            <w:r>
              <w:rPr>
                <w:rFonts w:ascii="宋体" w:hAnsi="宋体" w:eastAsia="宋体"/>
                <w:b w:val="0"/>
                <w:i w:val="0"/>
                <w:color w:val="1F2937"/>
                <w:sz w:val="19"/>
              </w:rPr>
              <w:t>印尼扩张期</w:t>
            </w:r>
          </w:p>
        </w:tc>
        <w:tc>
          <w:tcPr>
            <w:tcW w:type="dxa" w:w="2379"/>
          </w:tcPr>
          <w:p>
            <w:pPr>
              <w:jc w:val="center"/>
            </w:pPr>
            <w:r/>
            <w:r>
              <w:rPr>
                <w:rFonts w:ascii="宋体" w:hAnsi="宋体" w:eastAsia="宋体"/>
                <w:b w:val="0"/>
                <w:i w:val="0"/>
                <w:color w:val="1F2937"/>
                <w:sz w:val="19"/>
              </w:rPr>
              <w:t>中游本体与本地集成的关键接口</w:t>
            </w:r>
          </w:p>
        </w:tc>
      </w:tr>
      <w:tr>
        <w:tc>
          <w:tcPr>
            <w:tcW w:type="dxa" w:w="2379"/>
          </w:tcPr>
          <w:p>
            <w:pPr>
              <w:jc w:val="center"/>
            </w:pPr>
            <w:r/>
            <w:r>
              <w:rPr>
                <w:rFonts w:ascii="宋体" w:hAnsi="宋体" w:eastAsia="宋体"/>
                <w:b w:val="0"/>
                <w:i w:val="0"/>
                <w:color w:val="1F2937"/>
                <w:sz w:val="19"/>
              </w:rPr>
              <w:t>ABB / Yaskawa / FANUC / KUKA</w:t>
            </w:r>
          </w:p>
        </w:tc>
        <w:tc>
          <w:tcPr>
            <w:tcW w:type="dxa" w:w="2379"/>
          </w:tcPr>
          <w:p>
            <w:pPr>
              <w:jc w:val="center"/>
            </w:pPr>
            <w:r/>
            <w:r>
              <w:rPr>
                <w:rFonts w:ascii="宋体" w:hAnsi="宋体" w:eastAsia="宋体"/>
                <w:b w:val="0"/>
                <w:i w:val="0"/>
                <w:color w:val="1F2937"/>
                <w:sz w:val="19"/>
              </w:rPr>
              <w:t>外资本体（四大家族）</w:t>
            </w:r>
          </w:p>
        </w:tc>
        <w:tc>
          <w:tcPr>
            <w:tcW w:type="dxa" w:w="2379"/>
          </w:tcPr>
          <w:p>
            <w:pPr>
              <w:jc w:val="center"/>
            </w:pPr>
            <w:r/>
            <w:r>
              <w:rPr>
                <w:rFonts w:ascii="宋体" w:hAnsi="宋体" w:eastAsia="宋体"/>
                <w:b w:val="0"/>
                <w:i w:val="0"/>
                <w:color w:val="1F2937"/>
                <w:sz w:val="19"/>
              </w:rPr>
              <w:t>全国（OEM 直供）</w:t>
            </w:r>
          </w:p>
        </w:tc>
        <w:tc>
          <w:tcPr>
            <w:tcW w:type="dxa" w:w="2379"/>
          </w:tcPr>
          <w:p>
            <w:pPr>
              <w:jc w:val="center"/>
            </w:pPr>
            <w:r/>
            <w:r>
              <w:rPr>
                <w:rFonts w:ascii="宋体" w:hAnsi="宋体" w:eastAsia="宋体"/>
                <w:b w:val="0"/>
                <w:i w:val="0"/>
                <w:color w:val="1F2937"/>
                <w:sz w:val="19"/>
              </w:rPr>
              <w:t>高端本体与系统集成主流</w:t>
            </w:r>
          </w:p>
        </w:tc>
      </w:tr>
      <w:tr>
        <w:tc>
          <w:tcPr>
            <w:tcW w:type="dxa" w:w="2379"/>
          </w:tcPr>
          <w:p>
            <w:pPr>
              <w:jc w:val="center"/>
            </w:pPr>
            <w:r/>
            <w:r>
              <w:rPr>
                <w:rFonts w:ascii="宋体" w:hAnsi="宋体" w:eastAsia="宋体"/>
                <w:b w:val="0"/>
                <w:i w:val="0"/>
                <w:color w:val="1F2937"/>
                <w:sz w:val="19"/>
              </w:rPr>
              <w:t>中资机器人厂商（普渡 / 汇川 / 埃斯顿 / 擎朗）</w:t>
            </w:r>
          </w:p>
        </w:tc>
        <w:tc>
          <w:tcPr>
            <w:tcW w:type="dxa" w:w="2379"/>
          </w:tcPr>
          <w:p>
            <w:pPr>
              <w:jc w:val="center"/>
            </w:pPr>
            <w:r/>
            <w:r>
              <w:rPr>
                <w:rFonts w:ascii="宋体" w:hAnsi="宋体" w:eastAsia="宋体"/>
                <w:b w:val="0"/>
                <w:i w:val="0"/>
                <w:color w:val="1F2937"/>
                <w:sz w:val="19"/>
              </w:rPr>
              <w:t>本土本体 + 零部件</w:t>
            </w:r>
          </w:p>
        </w:tc>
        <w:tc>
          <w:tcPr>
            <w:tcW w:type="dxa" w:w="2379"/>
          </w:tcPr>
          <w:p>
            <w:pPr>
              <w:jc w:val="center"/>
            </w:pPr>
            <w:r/>
            <w:r>
              <w:rPr>
                <w:rFonts w:ascii="宋体" w:hAnsi="宋体" w:eastAsia="宋体"/>
                <w:b w:val="0"/>
                <w:i w:val="0"/>
                <w:color w:val="1F2937"/>
                <w:sz w:val="19"/>
              </w:rPr>
              <w:t>服务机器人 + 零部件进入印尼</w:t>
            </w:r>
          </w:p>
        </w:tc>
        <w:tc>
          <w:tcPr>
            <w:tcW w:type="dxa" w:w="2379"/>
          </w:tcPr>
          <w:p>
            <w:pPr>
              <w:jc w:val="center"/>
            </w:pPr>
            <w:r/>
            <w:r>
              <w:rPr>
                <w:rFonts w:ascii="宋体" w:hAnsi="宋体" w:eastAsia="宋体"/>
                <w:b w:val="0"/>
                <w:i w:val="0"/>
                <w:color w:val="1F2937"/>
                <w:sz w:val="19"/>
              </w:rPr>
              <w:t>性价比与本地化服务优势</w:t>
            </w:r>
          </w:p>
        </w:tc>
      </w:tr>
      <w:tr>
        <w:tc>
          <w:tcPr>
            <w:tcW w:type="dxa" w:w="2379"/>
          </w:tcPr>
          <w:p>
            <w:pPr>
              <w:jc w:val="center"/>
            </w:pPr>
            <w:r/>
            <w:r>
              <w:rPr>
                <w:rFonts w:ascii="宋体" w:hAnsi="宋体" w:eastAsia="宋体"/>
                <w:b w:val="0"/>
                <w:i w:val="0"/>
                <w:color w:val="1F2937"/>
                <w:sz w:val="19"/>
              </w:rPr>
              <w:t>本地系统集成商（中小型项目为主）</w:t>
            </w:r>
          </w:p>
        </w:tc>
        <w:tc>
          <w:tcPr>
            <w:tcW w:type="dxa" w:w="2379"/>
          </w:tcPr>
          <w:p>
            <w:pPr>
              <w:jc w:val="center"/>
            </w:pPr>
            <w:r/>
            <w:r>
              <w:rPr>
                <w:rFonts w:ascii="宋体" w:hAnsi="宋体" w:eastAsia="宋体"/>
                <w:b w:val="0"/>
                <w:i w:val="0"/>
                <w:color w:val="1F2937"/>
                <w:sz w:val="19"/>
              </w:rPr>
              <w:t>本地集成</w:t>
            </w:r>
          </w:p>
        </w:tc>
        <w:tc>
          <w:tcPr>
            <w:tcW w:type="dxa" w:w="2379"/>
          </w:tcPr>
          <w:p>
            <w:pPr>
              <w:jc w:val="center"/>
            </w:pPr>
            <w:r/>
            <w:r>
              <w:rPr>
                <w:rFonts w:ascii="宋体" w:hAnsi="宋体" w:eastAsia="宋体"/>
                <w:b w:val="0"/>
                <w:i w:val="0"/>
                <w:color w:val="1F2937"/>
                <w:sz w:val="19"/>
              </w:rPr>
              <w:t>食品包装 / 电子装配 / 焊接</w:t>
            </w:r>
          </w:p>
        </w:tc>
        <w:tc>
          <w:tcPr>
            <w:tcW w:type="dxa" w:w="2379"/>
          </w:tcPr>
          <w:p>
            <w:pPr>
              <w:jc w:val="center"/>
            </w:pPr>
            <w:r/>
            <w:r>
              <w:rPr>
                <w:rFonts w:ascii="宋体" w:hAnsi="宋体" w:eastAsia="宋体"/>
                <w:b w:val="0"/>
                <w:i w:val="0"/>
                <w:color w:val="1F2937"/>
                <w:sz w:val="19"/>
              </w:rPr>
              <w:t>区域市场深耕与试错共担</w:t>
            </w:r>
          </w:p>
        </w:tc>
      </w:tr>
      <w:tr>
        <w:tc>
          <w:tcPr>
            <w:tcW w:type="dxa" w:w="2379"/>
          </w:tcPr>
          <w:p>
            <w:pPr>
              <w:jc w:val="center"/>
            </w:pPr>
            <w:r/>
            <w:r>
              <w:rPr>
                <w:rFonts w:ascii="宋体" w:hAnsi="宋体" w:eastAsia="宋体"/>
                <w:b w:val="0"/>
                <w:i w:val="0"/>
                <w:color w:val="1F2937"/>
                <w:sz w:val="19"/>
              </w:rPr>
              <w:t>PIDI 4.0 + INDI 4.0 委员会</w:t>
            </w:r>
          </w:p>
        </w:tc>
        <w:tc>
          <w:tcPr>
            <w:tcW w:type="dxa" w:w="2379"/>
          </w:tcPr>
          <w:p>
            <w:pPr>
              <w:jc w:val="center"/>
            </w:pPr>
            <w:r/>
            <w:r>
              <w:rPr>
                <w:rFonts w:ascii="宋体" w:hAnsi="宋体" w:eastAsia="宋体"/>
                <w:b w:val="0"/>
                <w:i w:val="0"/>
                <w:color w:val="1F2937"/>
                <w:sz w:val="19"/>
              </w:rPr>
              <w:t>政府机构（评估 + 一站式服务）</w:t>
            </w:r>
          </w:p>
        </w:tc>
        <w:tc>
          <w:tcPr>
            <w:tcW w:type="dxa" w:w="2379"/>
          </w:tcPr>
          <w:p>
            <w:pPr>
              <w:jc w:val="center"/>
            </w:pPr>
            <w:r/>
            <w:r>
              <w:rPr>
                <w:rFonts w:ascii="宋体" w:hAnsi="宋体" w:eastAsia="宋体"/>
                <w:b w:val="0"/>
                <w:i w:val="0"/>
                <w:color w:val="1F2937"/>
                <w:sz w:val="19"/>
              </w:rPr>
              <w:t>全国</w:t>
            </w:r>
          </w:p>
        </w:tc>
        <w:tc>
          <w:tcPr>
            <w:tcW w:type="dxa" w:w="2379"/>
          </w:tcPr>
          <w:p>
            <w:pPr>
              <w:jc w:val="center"/>
            </w:pPr>
            <w:r/>
            <w:r>
              <w:rPr>
                <w:rFonts w:ascii="宋体" w:hAnsi="宋体" w:eastAsia="宋体"/>
                <w:b w:val="0"/>
                <w:i w:val="0"/>
                <w:color w:val="1F2937"/>
                <w:sz w:val="19"/>
              </w:rPr>
              <w:t>政策牵引与人才培训</w:t>
            </w:r>
          </w:p>
        </w:tc>
      </w:tr>
    </w:tbl>
    <w:p>
      <w:pPr>
        <w:spacing w:before="280" w:after="80"/>
      </w:pPr>
      <w:r>
        <w:rPr>
          <w:rFonts w:ascii="黑体" w:hAnsi="黑体" w:eastAsia="黑体"/>
          <w:b/>
          <w:i w:val="0"/>
          <w:color w:val="0B3A5C"/>
          <w:sz w:val="30"/>
        </w:rPr>
        <w:t>五、具身智能与人形机器人：印尼的早期视角</w:t>
      </w:r>
    </w:p>
    <w:p>
      <w:pPr>
        <w:spacing w:before="200" w:after="40"/>
      </w:pPr>
      <w:r>
        <w:rPr>
          <w:rFonts w:ascii="黑体" w:hAnsi="黑体" w:eastAsia="黑体"/>
          <w:b/>
          <w:i w:val="0"/>
          <w:color w:val="0E7C8A"/>
          <w:sz w:val="25"/>
        </w:rPr>
        <w:t>5.1 市场口径：早期但增速高</w:t>
      </w:r>
    </w:p>
    <w:p>
      <w:pPr>
        <w:spacing w:line="408" w:lineRule="auto" w:after="120"/>
        <w:jc w:val="both"/>
      </w:pPr>
      <w:r>
        <w:rPr>
          <w:rFonts w:ascii="宋体" w:hAnsi="宋体" w:eastAsia="宋体"/>
          <w:b w:val="0"/>
          <w:i w:val="0"/>
          <w:color w:val="1F2937"/>
          <w:sz w:val="22"/>
        </w:rPr>
        <w:t>印尼人形机器人市场 2023 年约 1,007 万美元、2024 年预计 1,512 万美元、2035 年预计 2 亿美元（26.5% CAGR）。教育与公共服务是早期落地场景。</w:t>
      </w:r>
    </w:p>
    <w:p>
      <w:pPr>
        <w:spacing w:before="200" w:after="40"/>
      </w:pPr>
      <w:r>
        <w:rPr>
          <w:rFonts w:ascii="黑体" w:hAnsi="黑体" w:eastAsia="黑体"/>
          <w:b/>
          <w:i w:val="0"/>
          <w:color w:val="0E7C8A"/>
          <w:sz w:val="25"/>
        </w:rPr>
        <w:t>5.2 教育与服务：印尼 K-12 STEM 视角</w:t>
      </w:r>
    </w:p>
    <w:p>
      <w:pPr>
        <w:spacing w:line="408" w:lineRule="auto" w:after="120"/>
        <w:jc w:val="both"/>
      </w:pPr>
      <w:r>
        <w:rPr>
          <w:rFonts w:ascii="宋体" w:hAnsi="宋体" w:eastAsia="宋体"/>
          <w:b w:val="0"/>
          <w:i w:val="0"/>
          <w:color w:val="1F2937"/>
          <w:sz w:val="22"/>
        </w:rPr>
        <w:t>2025 年全球教育人形机器人市场达 42.7 亿美元，亚太占 48.2%；东南亚地区『租赁-维护-内容更新一体化』模式覆盖当地 32% 的采购项目。印尼雅加达、万隆、泗水的高端国际学校与私立学校是早期采购群体，主要采购对象是 UBTECH、SoftBank Robotics、Embodied 等品牌。</w:t>
      </w:r>
    </w:p>
    <w:p>
      <w:pPr>
        <w:spacing w:before="200" w:after="40"/>
      </w:pPr>
      <w:r>
        <w:rPr>
          <w:rFonts w:ascii="黑体" w:hAnsi="黑体" w:eastAsia="黑体"/>
          <w:b/>
          <w:i w:val="0"/>
          <w:color w:val="0E7C8A"/>
          <w:sz w:val="25"/>
        </w:rPr>
        <w:t>5.3 公共部门与『印尼智慧城市』</w:t>
      </w:r>
    </w:p>
    <w:p>
      <w:pPr>
        <w:spacing w:line="408" w:lineRule="auto" w:after="120"/>
        <w:jc w:val="both"/>
      </w:pPr>
      <w:r>
        <w:rPr>
          <w:rFonts w:ascii="宋体" w:hAnsi="宋体" w:eastAsia="宋体"/>
          <w:b w:val="0"/>
          <w:i w:val="0"/>
          <w:color w:val="1F2937"/>
          <w:sz w:val="22"/>
        </w:rPr>
        <w:t>印尼『100 智慧城市』（100 Smart Cities Movement）将 IoT、人工智能、云、大数据、机器人纳入城市基础设施。在雅加达、万隆、泗水、巴厘岛，智能交通、智能电网、智能仪表已部署。</w:t>
      </w:r>
    </w:p>
    <w:p>
      <w:pPr>
        <w:spacing w:before="200" w:after="40"/>
      </w:pPr>
      <w:r>
        <w:rPr>
          <w:rFonts w:ascii="黑体" w:hAnsi="黑体" w:eastAsia="黑体"/>
          <w:b/>
          <w:i w:val="0"/>
          <w:color w:val="0E7C8A"/>
          <w:sz w:val="25"/>
        </w:rPr>
        <w:t>5.4 工业级具身智能：印尼镍冶炼与电池电芯的『机器换人』</w:t>
      </w:r>
    </w:p>
    <w:p>
      <w:pPr>
        <w:spacing w:line="408" w:lineRule="auto" w:after="120"/>
        <w:jc w:val="both"/>
      </w:pPr>
      <w:r>
        <w:rPr>
          <w:rFonts w:ascii="宋体" w:hAnsi="宋体" w:eastAsia="宋体"/>
          <w:b w:val="0"/>
          <w:i w:val="0"/>
          <w:color w:val="1F2937"/>
          <w:sz w:val="22"/>
        </w:rPr>
        <w:t>Morowali 工业区的镍冶炼线已部署 AGV 与自主巡检机器人；HLI Green Power（10 GWh）电池厂与 CATL 龙项目（远期 15 GWh）电芯装配线均规划了机器视觉 + AI 控制的精密装配。这条路径的特点是『具身智能藏在机器人本体后面』——不是人形机器人，而是高端制造场景里的视觉融合、自适应控制、协同作业。</w:t>
      </w:r>
    </w:p>
    <w:p>
      <w:pPr>
        <w:spacing w:before="280" w:after="80"/>
      </w:pPr>
      <w:r>
        <w:rPr>
          <w:rFonts w:ascii="黑体" w:hAnsi="黑体" w:eastAsia="黑体"/>
          <w:b/>
          <w:i w:val="0"/>
          <w:color w:val="0B3A5C"/>
          <w:sz w:val="30"/>
        </w:rPr>
        <w:t>六、东盟对比：印尼在机器人与具身智能版图中的位置</w:t>
      </w:r>
    </w:p>
    <w:p>
      <w:pPr>
        <w:spacing w:line="408" w:lineRule="auto" w:after="120"/>
        <w:jc w:val="both"/>
      </w:pPr>
      <w:r>
        <w:rPr>
          <w:rFonts w:ascii="宋体" w:hAnsi="宋体" w:eastAsia="宋体"/>
          <w:b w:val="0"/>
          <w:i w:val="0"/>
          <w:color w:val="1F2937"/>
          <w:sz w:val="22"/>
        </w:rPr>
        <w:t>仅看印尼自身市场不足以理解它的高端制造位置。同处东盟、同样承接产业转移的是菲律宾、泰国、越南。</w:t>
      </w:r>
    </w:p>
    <w:p>
      <w:pPr>
        <w:spacing w:before="200" w:after="40"/>
      </w:pPr>
      <w:r>
        <w:rPr>
          <w:rFonts w:ascii="黑体" w:hAnsi="黑体" w:eastAsia="黑体"/>
          <w:b/>
          <w:i w:val="0"/>
          <w:color w:val="0E7C8A"/>
          <w:sz w:val="25"/>
        </w:rPr>
        <w:t>表 5：印尼 vs. 东盟与全球对照（2024–2025）</w:t>
      </w:r>
    </w:p>
    <w:tbl>
      <w:tblPr>
        <w:tblStyle w:val="LightGrid-Accent1"/>
        <w:tblW w:type="auto" w:w="0"/>
        <w:tblLook w:firstColumn="1" w:firstRow="1" w:lastColumn="0" w:lastRow="0" w:noHBand="0" w:noVBand="1" w:val="04A0"/>
      </w:tblPr>
      <w:tblGrid>
        <w:gridCol w:w="1904"/>
        <w:gridCol w:w="1904"/>
        <w:gridCol w:w="1904"/>
        <w:gridCol w:w="1904"/>
        <w:gridCol w:w="1904"/>
      </w:tblGrid>
      <w:tr>
        <w:tc>
          <w:tcPr>
            <w:tcW w:type="dxa" w:w="1904"/>
          </w:tcPr>
          <w:p>
            <w:pPr>
              <w:jc w:val="center"/>
            </w:pPr>
            <w:r/>
            <w:r>
              <w:rPr>
                <w:rFonts w:ascii="黑体" w:hAnsi="黑体" w:eastAsia="黑体"/>
                <w:b/>
                <w:i w:val="0"/>
                <w:color w:val="0B3A5C"/>
                <w:sz w:val="20"/>
              </w:rPr>
              <w:t>国家 / 地区</w:t>
            </w:r>
          </w:p>
        </w:tc>
        <w:tc>
          <w:tcPr>
            <w:tcW w:type="dxa" w:w="1904"/>
          </w:tcPr>
          <w:p>
            <w:pPr>
              <w:jc w:val="center"/>
            </w:pPr>
            <w:r/>
            <w:r>
              <w:rPr>
                <w:rFonts w:ascii="黑体" w:hAnsi="黑体" w:eastAsia="黑体"/>
                <w:b/>
                <w:i w:val="0"/>
                <w:color w:val="0B3A5C"/>
                <w:sz w:val="20"/>
              </w:rPr>
              <w:t>工业机器人特征</w:t>
            </w:r>
          </w:p>
        </w:tc>
        <w:tc>
          <w:tcPr>
            <w:tcW w:type="dxa" w:w="1904"/>
          </w:tcPr>
          <w:p>
            <w:pPr>
              <w:jc w:val="center"/>
            </w:pPr>
            <w:r/>
            <w:r>
              <w:rPr>
                <w:rFonts w:ascii="黑体" w:hAnsi="黑体" w:eastAsia="黑体"/>
                <w:b/>
                <w:i w:val="0"/>
                <w:color w:val="0B3A5C"/>
                <w:sz w:val="20"/>
              </w:rPr>
              <w:t>具身智能 / 人形机器人</w:t>
            </w:r>
          </w:p>
        </w:tc>
        <w:tc>
          <w:tcPr>
            <w:tcW w:type="dxa" w:w="1904"/>
          </w:tcPr>
          <w:p>
            <w:pPr>
              <w:jc w:val="center"/>
            </w:pPr>
            <w:r/>
            <w:r>
              <w:rPr>
                <w:rFonts w:ascii="黑体" w:hAnsi="黑体" w:eastAsia="黑体"/>
                <w:b/>
                <w:i w:val="0"/>
                <w:color w:val="0B3A5C"/>
                <w:sz w:val="20"/>
              </w:rPr>
              <w:t>下游集群 / 制造出口</w:t>
            </w:r>
          </w:p>
        </w:tc>
        <w:tc>
          <w:tcPr>
            <w:tcW w:type="dxa" w:w="1904"/>
          </w:tcPr>
          <w:p>
            <w:pPr>
              <w:jc w:val="center"/>
            </w:pPr>
            <w:r/>
            <w:r>
              <w:rPr>
                <w:rFonts w:ascii="黑体" w:hAnsi="黑体" w:eastAsia="黑体"/>
                <w:b/>
                <w:i w:val="0"/>
                <w:color w:val="0B3A5C"/>
                <w:sz w:val="20"/>
              </w:rPr>
              <w:t>印尼相对位置</w:t>
            </w:r>
          </w:p>
        </w:tc>
      </w:tr>
      <w:tr>
        <w:tc>
          <w:tcPr>
            <w:tcW w:type="dxa" w:w="1904"/>
          </w:tcPr>
          <w:p>
            <w:pPr>
              <w:jc w:val="center"/>
            </w:pPr>
            <w:r/>
            <w:r>
              <w:rPr>
                <w:rFonts w:ascii="宋体" w:hAnsi="宋体" w:eastAsia="宋体"/>
                <w:b w:val="0"/>
                <w:i w:val="0"/>
                <w:color w:val="1F2937"/>
                <w:sz w:val="19"/>
              </w:rPr>
              <w:t>中国</w:t>
            </w:r>
          </w:p>
        </w:tc>
        <w:tc>
          <w:tcPr>
            <w:tcW w:type="dxa" w:w="1904"/>
          </w:tcPr>
          <w:p>
            <w:pPr>
              <w:jc w:val="center"/>
            </w:pPr>
            <w:r/>
            <w:r>
              <w:rPr>
                <w:rFonts w:ascii="宋体" w:hAnsi="宋体" w:eastAsia="宋体"/>
                <w:b w:val="0"/>
                <w:i w:val="0"/>
                <w:color w:val="1F2937"/>
                <w:sz w:val="19"/>
              </w:rPr>
              <w:t>295,000 台（2024）；保有 2,000,000+</w:t>
            </w:r>
          </w:p>
        </w:tc>
        <w:tc>
          <w:tcPr>
            <w:tcW w:type="dxa" w:w="1904"/>
          </w:tcPr>
          <w:p>
            <w:pPr>
              <w:jc w:val="center"/>
            </w:pPr>
            <w:r/>
            <w:r>
              <w:rPr>
                <w:rFonts w:ascii="宋体" w:hAnsi="宋体" w:eastAsia="宋体"/>
                <w:b w:val="0"/>
                <w:i w:val="0"/>
                <w:color w:val="1F2937"/>
                <w:sz w:val="19"/>
              </w:rPr>
              <w:t>2025 教育人形 19.6 亿 USD；工业服务 84.7%</w:t>
            </w:r>
          </w:p>
        </w:tc>
        <w:tc>
          <w:tcPr>
            <w:tcW w:type="dxa" w:w="1904"/>
          </w:tcPr>
          <w:p>
            <w:pPr>
              <w:jc w:val="center"/>
            </w:pPr>
            <w:r/>
            <w:r>
              <w:rPr>
                <w:rFonts w:ascii="宋体" w:hAnsi="宋体" w:eastAsia="宋体"/>
                <w:b w:val="0"/>
                <w:i w:val="0"/>
                <w:color w:val="1F2937"/>
                <w:sz w:val="19"/>
              </w:rPr>
              <w:t>全球工业机器人出口第二大</w:t>
            </w:r>
          </w:p>
        </w:tc>
        <w:tc>
          <w:tcPr>
            <w:tcW w:type="dxa" w:w="1904"/>
          </w:tcPr>
          <w:p>
            <w:pPr>
              <w:jc w:val="center"/>
            </w:pPr>
            <w:r/>
            <w:r>
              <w:rPr>
                <w:rFonts w:ascii="宋体" w:hAnsi="宋体" w:eastAsia="宋体"/>
                <w:b w:val="0"/>
                <w:i w:val="0"/>
                <w:color w:val="1F2937"/>
                <w:sz w:val="19"/>
              </w:rPr>
              <w:t>「上游强、下游强」</w:t>
            </w:r>
          </w:p>
        </w:tc>
      </w:tr>
      <w:tr>
        <w:tc>
          <w:tcPr>
            <w:tcW w:type="dxa" w:w="1904"/>
          </w:tcPr>
          <w:p>
            <w:pPr>
              <w:jc w:val="center"/>
            </w:pPr>
            <w:r/>
            <w:r>
              <w:rPr>
                <w:rFonts w:ascii="宋体" w:hAnsi="宋体" w:eastAsia="宋体"/>
                <w:b w:val="0"/>
                <w:i w:val="0"/>
                <w:color w:val="1F2937"/>
                <w:sz w:val="19"/>
              </w:rPr>
              <w:t>日本</w:t>
            </w:r>
          </w:p>
        </w:tc>
        <w:tc>
          <w:tcPr>
            <w:tcW w:type="dxa" w:w="1904"/>
          </w:tcPr>
          <w:p>
            <w:pPr>
              <w:jc w:val="center"/>
            </w:pPr>
            <w:r/>
            <w:r>
              <w:rPr>
                <w:rFonts w:ascii="宋体" w:hAnsi="宋体" w:eastAsia="宋体"/>
                <w:b w:val="0"/>
                <w:i w:val="0"/>
                <w:color w:val="1F2937"/>
                <w:sz w:val="19"/>
              </w:rPr>
              <w:t>本体四大家族之一（安川 / FANUC / 不二越 / 川崎）</w:t>
            </w:r>
          </w:p>
        </w:tc>
        <w:tc>
          <w:tcPr>
            <w:tcW w:type="dxa" w:w="1904"/>
          </w:tcPr>
          <w:p>
            <w:pPr>
              <w:jc w:val="center"/>
            </w:pPr>
            <w:r/>
            <w:r>
              <w:rPr>
                <w:rFonts w:ascii="宋体" w:hAnsi="宋体" w:eastAsia="宋体"/>
                <w:b w:val="0"/>
                <w:i w:val="0"/>
                <w:color w:val="1F2937"/>
                <w:sz w:val="19"/>
              </w:rPr>
              <w:t>教育 8.3 亿 USD；本体设计领先</w:t>
            </w:r>
          </w:p>
        </w:tc>
        <w:tc>
          <w:tcPr>
            <w:tcW w:type="dxa" w:w="1904"/>
          </w:tcPr>
          <w:p>
            <w:pPr>
              <w:jc w:val="center"/>
            </w:pPr>
            <w:r/>
            <w:r>
              <w:rPr>
                <w:rFonts w:ascii="宋体" w:hAnsi="宋体" w:eastAsia="宋体"/>
                <w:b w:val="0"/>
                <w:i w:val="0"/>
                <w:color w:val="1F2937"/>
                <w:sz w:val="19"/>
              </w:rPr>
              <w:t>精密制造 / 半导体设备</w:t>
            </w:r>
          </w:p>
        </w:tc>
        <w:tc>
          <w:tcPr>
            <w:tcW w:type="dxa" w:w="1904"/>
          </w:tcPr>
          <w:p>
            <w:pPr>
              <w:jc w:val="center"/>
            </w:pPr>
            <w:r/>
            <w:r>
              <w:rPr>
                <w:rFonts w:ascii="宋体" w:hAnsi="宋体" w:eastAsia="宋体"/>
                <w:b w:val="0"/>
                <w:i w:val="0"/>
                <w:color w:val="1F2937"/>
                <w:sz w:val="19"/>
              </w:rPr>
              <w:t>「上游强、下游高密度」</w:t>
            </w:r>
          </w:p>
        </w:tc>
      </w:tr>
      <w:tr>
        <w:tc>
          <w:tcPr>
            <w:tcW w:type="dxa" w:w="1904"/>
          </w:tcPr>
          <w:p>
            <w:pPr>
              <w:jc w:val="center"/>
            </w:pPr>
            <w:r/>
            <w:r>
              <w:rPr>
                <w:rFonts w:ascii="宋体" w:hAnsi="宋体" w:eastAsia="宋体"/>
                <w:b w:val="0"/>
                <w:i w:val="0"/>
                <w:color w:val="1F2937"/>
                <w:sz w:val="19"/>
              </w:rPr>
              <w:t>韩国</w:t>
            </w:r>
          </w:p>
        </w:tc>
        <w:tc>
          <w:tcPr>
            <w:tcW w:type="dxa" w:w="1904"/>
          </w:tcPr>
          <w:p>
            <w:pPr>
              <w:jc w:val="center"/>
            </w:pPr>
            <w:r/>
            <w:r>
              <w:rPr>
                <w:rFonts w:ascii="宋体" w:hAnsi="宋体" w:eastAsia="宋体"/>
                <w:b w:val="0"/>
                <w:i w:val="0"/>
                <w:color w:val="1F2937"/>
                <w:sz w:val="19"/>
              </w:rPr>
              <w:t>现代机器人 / Doosan Robotics</w:t>
            </w:r>
          </w:p>
        </w:tc>
        <w:tc>
          <w:tcPr>
            <w:tcW w:type="dxa" w:w="1904"/>
          </w:tcPr>
          <w:p>
            <w:pPr>
              <w:jc w:val="center"/>
            </w:pPr>
            <w:r/>
            <w:r>
              <w:rPr>
                <w:rFonts w:ascii="宋体" w:hAnsi="宋体" w:eastAsia="宋体"/>
                <w:b w:val="0"/>
                <w:i w:val="0"/>
                <w:color w:val="1F2937"/>
                <w:sz w:val="19"/>
              </w:rPr>
              <w:t>教育 5.1 亿 USD；服务机器人领先</w:t>
            </w:r>
          </w:p>
        </w:tc>
        <w:tc>
          <w:tcPr>
            <w:tcW w:type="dxa" w:w="1904"/>
          </w:tcPr>
          <w:p>
            <w:pPr>
              <w:jc w:val="center"/>
            </w:pPr>
            <w:r/>
            <w:r>
              <w:rPr>
                <w:rFonts w:ascii="宋体" w:hAnsi="宋体" w:eastAsia="宋体"/>
                <w:b w:val="0"/>
                <w:i w:val="0"/>
                <w:color w:val="1F2937"/>
                <w:sz w:val="19"/>
              </w:rPr>
              <w:t>半导体 / EV 电池</w:t>
            </w:r>
          </w:p>
        </w:tc>
        <w:tc>
          <w:tcPr>
            <w:tcW w:type="dxa" w:w="1904"/>
          </w:tcPr>
          <w:p>
            <w:pPr>
              <w:jc w:val="center"/>
            </w:pPr>
            <w:r/>
            <w:r>
              <w:rPr>
                <w:rFonts w:ascii="宋体" w:hAnsi="宋体" w:eastAsia="宋体"/>
                <w:b w:val="0"/>
                <w:i w:val="0"/>
                <w:color w:val="1F2937"/>
                <w:sz w:val="19"/>
              </w:rPr>
              <w:t>「上游强、下游高密度」</w:t>
            </w:r>
          </w:p>
        </w:tc>
      </w:tr>
      <w:tr>
        <w:tc>
          <w:tcPr>
            <w:tcW w:type="dxa" w:w="1904"/>
          </w:tcPr>
          <w:p>
            <w:pPr>
              <w:jc w:val="center"/>
            </w:pPr>
            <w:r/>
            <w:r>
              <w:rPr>
                <w:rFonts w:ascii="宋体" w:hAnsi="宋体" w:eastAsia="宋体"/>
                <w:b w:val="0"/>
                <w:i w:val="0"/>
                <w:color w:val="1F2937"/>
                <w:sz w:val="19"/>
              </w:rPr>
              <w:t>印尼</w:t>
            </w:r>
          </w:p>
        </w:tc>
        <w:tc>
          <w:tcPr>
            <w:tcW w:type="dxa" w:w="1904"/>
          </w:tcPr>
          <w:p>
            <w:pPr>
              <w:jc w:val="center"/>
            </w:pPr>
            <w:r/>
            <w:r>
              <w:rPr>
                <w:rFonts w:ascii="宋体" w:hAnsi="宋体" w:eastAsia="宋体"/>
                <w:b w:val="0"/>
                <w:i w:val="0"/>
                <w:color w:val="1F2937"/>
                <w:sz w:val="19"/>
              </w:rPr>
              <w:t>本体以进口为主；中游集成本地化</w:t>
            </w:r>
          </w:p>
        </w:tc>
        <w:tc>
          <w:tcPr>
            <w:tcW w:type="dxa" w:w="1904"/>
          </w:tcPr>
          <w:p>
            <w:pPr>
              <w:jc w:val="center"/>
            </w:pPr>
            <w:r/>
            <w:r>
              <w:rPr>
                <w:rFonts w:ascii="宋体" w:hAnsi="宋体" w:eastAsia="宋体"/>
                <w:b w:val="0"/>
                <w:i w:val="0"/>
                <w:color w:val="1F2937"/>
                <w:sz w:val="19"/>
              </w:rPr>
              <w:t>教育机器人早期布局；服务机器人雅加达试点</w:t>
            </w:r>
          </w:p>
        </w:tc>
        <w:tc>
          <w:tcPr>
            <w:tcW w:type="dxa" w:w="1904"/>
          </w:tcPr>
          <w:p>
            <w:pPr>
              <w:jc w:val="center"/>
            </w:pPr>
            <w:r/>
            <w:r>
              <w:rPr>
                <w:rFonts w:ascii="宋体" w:hAnsi="宋体" w:eastAsia="宋体"/>
                <w:b w:val="0"/>
                <w:i w:val="0"/>
                <w:color w:val="1F2937"/>
                <w:sz w:val="19"/>
              </w:rPr>
              <w:t>镍 / EV 电池 / 食品饮料 / 电子装配</w:t>
            </w:r>
          </w:p>
        </w:tc>
        <w:tc>
          <w:tcPr>
            <w:tcW w:type="dxa" w:w="1904"/>
          </w:tcPr>
          <w:p>
            <w:pPr>
              <w:jc w:val="center"/>
            </w:pPr>
            <w:r/>
            <w:r>
              <w:rPr>
                <w:rFonts w:ascii="宋体" w:hAnsi="宋体" w:eastAsia="宋体"/>
                <w:b w:val="0"/>
                <w:i w:val="0"/>
                <w:color w:val="1F2937"/>
                <w:sz w:val="19"/>
              </w:rPr>
              <w:t>「下游应用强、上游弱、集成强」</w:t>
            </w:r>
          </w:p>
        </w:tc>
      </w:tr>
      <w:tr>
        <w:tc>
          <w:tcPr>
            <w:tcW w:type="dxa" w:w="1904"/>
          </w:tcPr>
          <w:p>
            <w:pPr>
              <w:jc w:val="center"/>
            </w:pPr>
            <w:r/>
            <w:r>
              <w:rPr>
                <w:rFonts w:ascii="宋体" w:hAnsi="宋体" w:eastAsia="宋体"/>
                <w:b w:val="0"/>
                <w:i w:val="0"/>
                <w:color w:val="1F2937"/>
                <w:sz w:val="19"/>
              </w:rPr>
              <w:t>泰国</w:t>
            </w:r>
          </w:p>
        </w:tc>
        <w:tc>
          <w:tcPr>
            <w:tcW w:type="dxa" w:w="1904"/>
          </w:tcPr>
          <w:p>
            <w:pPr>
              <w:jc w:val="center"/>
            </w:pPr>
            <w:r/>
            <w:r>
              <w:rPr>
                <w:rFonts w:ascii="宋体" w:hAnsi="宋体" w:eastAsia="宋体"/>
                <w:b w:val="0"/>
                <w:i w:val="0"/>
                <w:color w:val="1F2937"/>
                <w:sz w:val="19"/>
              </w:rPr>
              <w:t>无镍但 EV 集群强；汽车与电子装配发达</w:t>
            </w:r>
          </w:p>
        </w:tc>
        <w:tc>
          <w:tcPr>
            <w:tcW w:type="dxa" w:w="1904"/>
          </w:tcPr>
          <w:p>
            <w:pPr>
              <w:jc w:val="center"/>
            </w:pPr>
            <w:r/>
            <w:r>
              <w:rPr>
                <w:rFonts w:ascii="宋体" w:hAnsi="宋体" w:eastAsia="宋体"/>
                <w:b w:val="0"/>
                <w:i w:val="0"/>
                <w:color w:val="1F2937"/>
                <w:sz w:val="19"/>
              </w:rPr>
              <w:t>教育与公共部门初步布局</w:t>
            </w:r>
          </w:p>
        </w:tc>
        <w:tc>
          <w:tcPr>
            <w:tcW w:type="dxa" w:w="1904"/>
          </w:tcPr>
          <w:p>
            <w:pPr>
              <w:jc w:val="center"/>
            </w:pPr>
            <w:r/>
            <w:r>
              <w:rPr>
                <w:rFonts w:ascii="宋体" w:hAnsi="宋体" w:eastAsia="宋体"/>
                <w:b w:val="0"/>
                <w:i w:val="0"/>
                <w:color w:val="1F2937"/>
                <w:sz w:val="19"/>
              </w:rPr>
              <w:t>BYD Rayong（2024-07）开张，40+ 亿美元 EV 投资</w:t>
            </w:r>
          </w:p>
        </w:tc>
        <w:tc>
          <w:tcPr>
            <w:tcW w:type="dxa" w:w="1904"/>
          </w:tcPr>
          <w:p>
            <w:pPr>
              <w:jc w:val="center"/>
            </w:pPr>
            <w:r/>
            <w:r>
              <w:rPr>
                <w:rFonts w:ascii="宋体" w:hAnsi="宋体" w:eastAsia="宋体"/>
                <w:b w:val="0"/>
                <w:i w:val="0"/>
                <w:color w:val="1F2937"/>
                <w:sz w:val="19"/>
              </w:rPr>
              <w:t>「下游强、上游弱、本地化要求」</w:t>
            </w:r>
          </w:p>
        </w:tc>
      </w:tr>
      <w:tr>
        <w:tc>
          <w:tcPr>
            <w:tcW w:type="dxa" w:w="1904"/>
          </w:tcPr>
          <w:p>
            <w:pPr>
              <w:jc w:val="center"/>
            </w:pPr>
            <w:r/>
            <w:r>
              <w:rPr>
                <w:rFonts w:ascii="宋体" w:hAnsi="宋体" w:eastAsia="宋体"/>
                <w:b w:val="0"/>
                <w:i w:val="0"/>
                <w:color w:val="1F2937"/>
                <w:sz w:val="19"/>
              </w:rPr>
              <w:t>越南</w:t>
            </w:r>
          </w:p>
        </w:tc>
        <w:tc>
          <w:tcPr>
            <w:tcW w:type="dxa" w:w="1904"/>
          </w:tcPr>
          <w:p>
            <w:pPr>
              <w:jc w:val="center"/>
            </w:pPr>
            <w:r/>
            <w:r>
              <w:rPr>
                <w:rFonts w:ascii="宋体" w:hAnsi="宋体" w:eastAsia="宋体"/>
                <w:b w:val="0"/>
                <w:i w:val="0"/>
                <w:color w:val="1F2937"/>
                <w:sz w:val="19"/>
              </w:rPr>
              <w:t>制造业转移首选；电子组装发达</w:t>
            </w:r>
          </w:p>
        </w:tc>
        <w:tc>
          <w:tcPr>
            <w:tcW w:type="dxa" w:w="1904"/>
          </w:tcPr>
          <w:p>
            <w:pPr>
              <w:jc w:val="center"/>
            </w:pPr>
            <w:r/>
            <w:r>
              <w:rPr>
                <w:rFonts w:ascii="宋体" w:hAnsi="宋体" w:eastAsia="宋体"/>
                <w:b w:val="0"/>
                <w:i w:val="0"/>
                <w:color w:val="1F2937"/>
                <w:sz w:val="19"/>
              </w:rPr>
              <w:t>服务机器人接受度高</w:t>
            </w:r>
          </w:p>
        </w:tc>
        <w:tc>
          <w:tcPr>
            <w:tcW w:type="dxa" w:w="1904"/>
          </w:tcPr>
          <w:p>
            <w:pPr>
              <w:jc w:val="center"/>
            </w:pPr>
            <w:r/>
            <w:r>
              <w:rPr>
                <w:rFonts w:ascii="宋体" w:hAnsi="宋体" w:eastAsia="宋体"/>
                <w:b w:val="0"/>
                <w:i w:val="0"/>
                <w:color w:val="1F2937"/>
                <w:sz w:val="19"/>
              </w:rPr>
              <w:t>Samsung、LG 工厂密集</w:t>
            </w:r>
          </w:p>
        </w:tc>
        <w:tc>
          <w:tcPr>
            <w:tcW w:type="dxa" w:w="1904"/>
          </w:tcPr>
          <w:p>
            <w:pPr>
              <w:jc w:val="center"/>
            </w:pPr>
            <w:r/>
            <w:r>
              <w:rPr>
                <w:rFonts w:ascii="宋体" w:hAnsi="宋体" w:eastAsia="宋体"/>
                <w:b w:val="0"/>
                <w:i w:val="0"/>
                <w:color w:val="1F2937"/>
                <w:sz w:val="19"/>
              </w:rPr>
              <w:t>「下游强、上游弱、增长最快」</w:t>
            </w:r>
          </w:p>
        </w:tc>
      </w:tr>
      <w:tr>
        <w:tc>
          <w:tcPr>
            <w:tcW w:type="dxa" w:w="1904"/>
          </w:tcPr>
          <w:p>
            <w:pPr>
              <w:jc w:val="center"/>
            </w:pPr>
            <w:r/>
            <w:r>
              <w:rPr>
                <w:rFonts w:ascii="宋体" w:hAnsi="宋体" w:eastAsia="宋体"/>
                <w:b w:val="0"/>
                <w:i w:val="0"/>
                <w:color w:val="1F2937"/>
                <w:sz w:val="19"/>
              </w:rPr>
              <w:t>菲律宾</w:t>
            </w:r>
          </w:p>
        </w:tc>
        <w:tc>
          <w:tcPr>
            <w:tcW w:type="dxa" w:w="1904"/>
          </w:tcPr>
          <w:p>
            <w:pPr>
              <w:jc w:val="center"/>
            </w:pPr>
            <w:r/>
            <w:r>
              <w:rPr>
                <w:rFonts w:ascii="宋体" w:hAnsi="宋体" w:eastAsia="宋体"/>
                <w:b w:val="0"/>
                <w:i w:val="0"/>
                <w:color w:val="1F2937"/>
                <w:sz w:val="19"/>
              </w:rPr>
              <w:t>电子组装 + 镍矿下游窗口</w:t>
            </w:r>
          </w:p>
        </w:tc>
        <w:tc>
          <w:tcPr>
            <w:tcW w:type="dxa" w:w="1904"/>
          </w:tcPr>
          <w:p>
            <w:pPr>
              <w:jc w:val="center"/>
            </w:pPr>
            <w:r/>
            <w:r>
              <w:rPr>
                <w:rFonts w:ascii="宋体" w:hAnsi="宋体" w:eastAsia="宋体"/>
                <w:b w:val="0"/>
                <w:i w:val="0"/>
                <w:color w:val="1F2937"/>
                <w:sz w:val="19"/>
              </w:rPr>
              <w:t>教育机器人 BPO 服务业为主</w:t>
            </w:r>
          </w:p>
        </w:tc>
        <w:tc>
          <w:tcPr>
            <w:tcW w:type="dxa" w:w="1904"/>
          </w:tcPr>
          <w:p>
            <w:pPr>
              <w:jc w:val="center"/>
            </w:pPr>
            <w:r/>
            <w:r>
              <w:rPr>
                <w:rFonts w:ascii="宋体" w:hAnsi="宋体" w:eastAsia="宋体"/>
                <w:b w:val="0"/>
                <w:i w:val="0"/>
                <w:color w:val="1F2937"/>
                <w:sz w:val="19"/>
              </w:rPr>
              <w:t>44.97M 湿公吨镍出口（2024）但仅 2 个冶炼厂</w:t>
            </w:r>
          </w:p>
        </w:tc>
        <w:tc>
          <w:tcPr>
            <w:tcW w:type="dxa" w:w="1904"/>
          </w:tcPr>
          <w:p>
            <w:pPr>
              <w:jc w:val="center"/>
            </w:pPr>
            <w:r/>
            <w:r>
              <w:rPr>
                <w:rFonts w:ascii="宋体" w:hAnsi="宋体" w:eastAsia="宋体"/>
                <w:b w:val="0"/>
                <w:i w:val="0"/>
                <w:color w:val="1F2937"/>
                <w:sz w:val="19"/>
              </w:rPr>
              <w:t>「下游起步、上游错失」</w:t>
            </w:r>
          </w:p>
        </w:tc>
      </w:tr>
    </w:tbl>
    <w:p>
      <w:pPr>
        <w:spacing w:after="120"/>
      </w:pPr>
      <w:r>
        <w:rPr>
          <w:rFonts w:ascii="宋体" w:hAnsi="宋体" w:eastAsia="宋体"/>
          <w:b w:val="0"/>
          <w:i w:val="0"/>
          <w:color w:val="4B5563"/>
          <w:sz w:val="18"/>
        </w:rPr>
        <w:t>注：菲律宾 2025 年 2 月参议院曾通过原矿出口禁令草案，但 4 个月后撤销——这是印尼『原矿出口禁令 + 下游化』路径的反向案例。</w:t>
      </w:r>
    </w:p>
    <w:p>
      <w:pPr>
        <w:spacing w:before="280" w:after="80"/>
      </w:pPr>
      <w:r>
        <w:rPr>
          <w:rFonts w:ascii="黑体" w:hAnsi="黑体" w:eastAsia="黑体"/>
          <w:b/>
          <w:i w:val="0"/>
          <w:color w:val="0E7C8A"/>
          <w:sz w:val="30"/>
        </w:rPr>
        <w:t>七、可持续发展视角：工业 4.0 与高端制造的能耗悖论</w:t>
      </w:r>
    </w:p>
    <w:p>
      <w:pPr>
        <w:spacing w:line="408" w:lineRule="auto" w:after="120"/>
        <w:jc w:val="both"/>
      </w:pPr>
      <w:r>
        <w:rPr>
          <w:rFonts w:ascii="宋体" w:hAnsi="宋体" w:eastAsia="宋体"/>
          <w:b w:val="0"/>
          <w:i w:val="0"/>
          <w:color w:val="1F2937"/>
          <w:sz w:val="22"/>
        </w:rPr>
        <w:t>这一节回应本平台《AI 4.0 与绿色工业化》系列议题：印尼的高端制造升级必须与可持续性绑定，否则会陷入『用煤电造电池的悖论』。</w:t>
      </w:r>
    </w:p>
    <w:p>
      <w:pPr>
        <w:spacing w:before="200" w:after="40"/>
      </w:pPr>
      <w:r>
        <w:rPr>
          <w:rFonts w:ascii="黑体" w:hAnsi="黑体" w:eastAsia="黑体"/>
          <w:b/>
          <w:i w:val="0"/>
          <w:color w:val="0E7C8A"/>
          <w:sz w:val="25"/>
        </w:rPr>
        <w:t>7.1 能耗悖论：工业 4.0 的隐性成本</w:t>
      </w:r>
    </w:p>
    <w:p>
      <w:pPr>
        <w:spacing w:line="408" w:lineRule="auto" w:after="120"/>
        <w:jc w:val="both"/>
      </w:pPr>
      <w:r>
        <w:rPr>
          <w:rFonts w:ascii="宋体" w:hAnsi="宋体" w:eastAsia="宋体"/>
          <w:b w:val="0"/>
          <w:i w:val="0"/>
          <w:color w:val="1F2937"/>
          <w:sz w:val="22"/>
        </w:rPr>
        <w:t>RUPTL 2025–2034（印尼国家电力采购计划）规划 42.6 GW 可再生能源（光伏 17.1 GW），但工业 4.0 路径下印尼的工业电力需求增量预计 10 GW 以上——其中相当一部分由自备燃煤满足。这一能耗悖论与本平台「印尼镍矿产业链」一文中披露的 Morowali 31 GW 自备燃煤数据同源。</w:t>
      </w:r>
    </w:p>
    <w:p>
      <w:pPr>
        <w:spacing w:before="200" w:after="40"/>
      </w:pPr>
      <w:r>
        <w:rPr>
          <w:rFonts w:ascii="黑体" w:hAnsi="黑体" w:eastAsia="黑体"/>
          <w:b/>
          <w:i w:val="0"/>
          <w:color w:val="0E7C8A"/>
          <w:sz w:val="25"/>
        </w:rPr>
        <w:t>7.2 生态现代化：Batang 试点的反向案例</w:t>
      </w:r>
    </w:p>
    <w:p>
      <w:pPr>
        <w:spacing w:line="408" w:lineRule="auto" w:after="120"/>
        <w:jc w:val="both"/>
      </w:pPr>
      <w:r>
        <w:rPr>
          <w:rFonts w:ascii="宋体" w:hAnsi="宋体" w:eastAsia="宋体"/>
          <w:b w:val="0"/>
          <w:i w:val="0"/>
          <w:color w:val="1F2937"/>
          <w:sz w:val="22"/>
        </w:rPr>
        <w:t>SBIN 战略中 Batang Industrial Estate（中爪哇）的『生态现代化』试点提供了另一种视角：废水强制再利用、能效改进、工业共生（一个工厂的废热成为另一个工厂的能源）。在 Batang 部署的机器人是低能耗、协作型（cobot），与 Morowali 的高能耗重工业机器人形成两种『高端制造』路径。</w:t>
      </w:r>
    </w:p>
    <w:p>
      <w:pPr>
        <w:spacing w:before="200" w:after="40"/>
      </w:pPr>
      <w:r>
        <w:rPr>
          <w:rFonts w:ascii="黑体" w:hAnsi="黑体" w:eastAsia="黑体"/>
          <w:b/>
          <w:i w:val="0"/>
          <w:color w:val="0E7C8A"/>
          <w:sz w:val="25"/>
        </w:rPr>
        <w:t>7.3 教育与本地视角：具身智能的伦理与就业</w:t>
      </w:r>
    </w:p>
    <w:p>
      <w:pPr>
        <w:spacing w:line="408" w:lineRule="auto" w:after="120"/>
        <w:jc w:val="both"/>
      </w:pPr>
      <w:r>
        <w:rPr>
          <w:rFonts w:ascii="宋体" w:hAnsi="宋体" w:eastAsia="宋体"/>
          <w:b w:val="0"/>
          <w:i w:val="0"/>
          <w:color w:val="1F2937"/>
          <w:sz w:val="22"/>
        </w:rPr>
        <w:t>印尼制造业就业 2023 年 1,930 万人，占就业总数的约 14%。工业 4.0 与机器人普及的就业影响是印尼社会讨论的重要议题：低端劳动密集型岗位最易受冲击；高技能岗位需求上升但供给不足。雅加达最低工资 2024 年 5,000,000 IDR（≈320 USD）且年增 10%，意味着低端劳动的『被替代临界点』已到来。</w:t>
      </w:r>
    </w:p>
    <w:p>
      <w:pPr>
        <w:spacing w:before="280" w:after="80"/>
      </w:pPr>
      <w:r>
        <w:rPr>
          <w:rFonts w:ascii="黑体" w:hAnsi="黑体" w:eastAsia="黑体"/>
          <w:b/>
          <w:i w:val="0"/>
          <w:color w:val="0B3A5C"/>
          <w:sz w:val="30"/>
        </w:rPr>
        <w:t>八、结论：印尼高端制造跃迁的三条硬线索</w:t>
      </w:r>
    </w:p>
    <w:p>
      <w:pPr>
        <w:spacing w:line="408" w:lineRule="auto" w:after="120"/>
        <w:jc w:val="both"/>
      </w:pPr>
      <w:r>
        <w:rPr>
          <w:rFonts w:ascii="宋体" w:hAnsi="宋体" w:eastAsia="宋体"/>
          <w:b w:val="0"/>
          <w:i w:val="0"/>
          <w:color w:val="1F2937"/>
          <w:sz w:val="22"/>
        </w:rPr>
        <w:t>回到开篇的五个问题，给出三条对国际产业研究者、企业战略部门与政策制定者均有参考价值的硬线索。</w:t>
      </w:r>
    </w:p>
    <w:p>
      <w:pPr>
        <w:spacing w:line="408" w:lineRule="auto" w:after="120"/>
        <w:jc w:val="both"/>
      </w:pPr>
      <w:r>
        <w:rPr>
          <w:rFonts w:ascii="宋体" w:hAnsi="宋体" w:eastAsia="宋体"/>
          <w:b w:val="0"/>
          <w:i w:val="0"/>
          <w:color w:val="1F2937"/>
          <w:sz w:val="22"/>
        </w:rPr>
        <w:t>第一条硬线索：政策框架已经成熟，市场规模仍待兑现。印尼制造 4.0 + INDI 4.0 + PIDI 4.0 + SBIN 四层结构清晰，60+ 家公司 INDI 4.0 评分 &gt;3.0，但工业机器人市场 2024 年仅 2,024 万美元，2030 年预计 4,775 万美元——绝对值仍远低于韩国、日本。</w:t>
      </w:r>
    </w:p>
    <w:p>
      <w:pPr>
        <w:spacing w:line="408" w:lineRule="auto" w:after="120"/>
        <w:jc w:val="both"/>
      </w:pPr>
      <w:r>
        <w:rPr>
          <w:rFonts w:ascii="宋体" w:hAnsi="宋体" w:eastAsia="宋体"/>
          <w:b w:val="0"/>
          <w:i w:val="0"/>
          <w:color w:val="1F2937"/>
          <w:sz w:val="22"/>
        </w:rPr>
        <w:t>第二条硬线索：印尼本地集成能力正在补课，本体能力仍需五到十年。PT Astra Daihatsu Motor、IAMI 这类本地 OEM 的高端集成能力是真实可量化的，但核心零部件本地化仍依赖日韩中进口。中资机器人厂商以服务机器人与零部件切入印尼，是性价比与本地化服务优势；短期 3–5 年内难以形成『高端本体规模化进入』，但有望在服务机器人与协作机器人上形成局部规模效应。</w:t>
      </w:r>
    </w:p>
    <w:p>
      <w:pPr>
        <w:spacing w:line="408" w:lineRule="auto" w:after="120"/>
        <w:jc w:val="both"/>
      </w:pPr>
      <w:r>
        <w:rPr>
          <w:rFonts w:ascii="宋体" w:hAnsi="宋体" w:eastAsia="宋体"/>
          <w:b w:val="0"/>
          <w:i w:val="0"/>
          <w:color w:val="1F2937"/>
          <w:sz w:val="22"/>
        </w:rPr>
        <w:t>第三条硬线索：可持续性必须与高端制造同步设计。Batang 试点与 Morowali 31 GW 自备燃煤之间的差距，定义了印尼高端制造的两种可能：前者是『精密、低耗、可持续』，后者是『重工业、高耗、高产值』。任何国际产业研究者与企业战略部门评估印尼时，都不应只看机器人安装台数，而应同时看工业 4.0 升级路径下的能耗与生态代价。</w:t>
      </w:r>
    </w:p>
    <w:p/>
    <w:p>
      <w:pPr>
        <w:spacing w:before="280" w:after="80"/>
      </w:pPr>
      <w:r>
        <w:rPr>
          <w:rFonts w:ascii="黑体" w:hAnsi="黑体" w:eastAsia="黑体"/>
          <w:b/>
          <w:i w:val="0"/>
          <w:color w:val="0B3A5C"/>
          <w:sz w:val="30"/>
        </w:rPr>
        <w:t>数据来源</w:t>
      </w:r>
    </w:p>
    <w:p>
      <w:pPr>
        <w:spacing w:after="60"/>
        <w:ind w:left="397"/>
      </w:pPr>
      <w:r>
        <w:rPr>
          <w:rFonts w:ascii="宋体" w:hAnsi="宋体" w:eastAsia="宋体"/>
          <w:b/>
          <w:i w:val="0"/>
          <w:color w:val="1F2937"/>
          <w:sz w:val="22"/>
        </w:rPr>
        <w:t xml:space="preserve">1. </w:t>
      </w:r>
      <w:r>
        <w:rPr>
          <w:rFonts w:ascii="宋体" w:hAnsi="宋体" w:eastAsia="宋体"/>
          <w:b w:val="0"/>
          <w:i w:val="0"/>
          <w:color w:val="1F2937"/>
          <w:sz w:val="22"/>
        </w:rPr>
        <w:t>Mordor Intelligence：Indonesia Industrial Robotics Market 2024–2030（市场规模 2,024 万 → 4,775 万 USD）</w:t>
      </w:r>
    </w:p>
    <w:p>
      <w:pPr>
        <w:spacing w:after="60"/>
        <w:ind w:left="397"/>
      </w:pPr>
      <w:r>
        <w:rPr>
          <w:rFonts w:ascii="宋体" w:hAnsi="宋体" w:eastAsia="宋体"/>
          <w:b/>
          <w:i w:val="0"/>
          <w:color w:val="1F2937"/>
          <w:sz w:val="22"/>
        </w:rPr>
        <w:t xml:space="preserve">2. </w:t>
      </w:r>
      <w:r>
        <w:rPr>
          <w:rFonts w:ascii="宋体" w:hAnsi="宋体" w:eastAsia="宋体"/>
          <w:b w:val="0"/>
          <w:i w:val="0"/>
          <w:color w:val="1F2937"/>
          <w:sz w:val="22"/>
        </w:rPr>
        <w:t>Statista：Indonesia AI-Enabled Robotics Revenue 2024–2030（5,795 万 → 2.287 亿 USD）</w:t>
      </w:r>
    </w:p>
    <w:p>
      <w:pPr>
        <w:spacing w:after="60"/>
        <w:ind w:left="397"/>
      </w:pPr>
      <w:r>
        <w:rPr>
          <w:rFonts w:ascii="宋体" w:hAnsi="宋体" w:eastAsia="宋体"/>
          <w:b/>
          <w:i w:val="0"/>
          <w:color w:val="1F2937"/>
          <w:sz w:val="22"/>
        </w:rPr>
        <w:t xml:space="preserve">3. </w:t>
      </w:r>
      <w:r>
        <w:rPr>
          <w:rFonts w:ascii="宋体" w:hAnsi="宋体" w:eastAsia="宋体"/>
          <w:b w:val="0"/>
          <w:i w:val="0"/>
          <w:color w:val="1F2937"/>
          <w:sz w:val="22"/>
        </w:rPr>
        <w:t>Sunrise Expo 引 Mordor：Indonesia Humanoid Robot Market 2023–2035（1,007 万 → 2 亿 USD）</w:t>
      </w:r>
    </w:p>
    <w:p>
      <w:pPr>
        <w:spacing w:after="60"/>
        <w:ind w:left="397"/>
      </w:pPr>
      <w:r>
        <w:rPr>
          <w:rFonts w:ascii="宋体" w:hAnsi="宋体" w:eastAsia="宋体"/>
          <w:b/>
          <w:i w:val="0"/>
          <w:color w:val="1F2937"/>
          <w:sz w:val="22"/>
        </w:rPr>
        <w:t xml:space="preserve">4. </w:t>
      </w:r>
      <w:r>
        <w:rPr>
          <w:rFonts w:ascii="宋体" w:hAnsi="宋体" w:eastAsia="宋体"/>
          <w:b w:val="0"/>
          <w:i w:val="0"/>
          <w:color w:val="1F2937"/>
          <w:sz w:val="22"/>
        </w:rPr>
        <w:t>6W Research / Technavio：Indonesia Industrial Automation &amp; Control Systems 2024–2033（34 亿 → 84 亿 USD）</w:t>
      </w:r>
    </w:p>
    <w:p>
      <w:pPr>
        <w:spacing w:after="60"/>
        <w:ind w:left="397"/>
      </w:pPr>
      <w:r>
        <w:rPr>
          <w:rFonts w:ascii="宋体" w:hAnsi="宋体" w:eastAsia="宋体"/>
          <w:b/>
          <w:i w:val="0"/>
          <w:color w:val="1F2937"/>
          <w:sz w:val="22"/>
        </w:rPr>
        <w:t xml:space="preserve">5. </w:t>
      </w:r>
      <w:r>
        <w:rPr>
          <w:rFonts w:ascii="宋体" w:hAnsi="宋体" w:eastAsia="宋体"/>
          <w:b w:val="0"/>
          <w:i w:val="0"/>
          <w:color w:val="1F2937"/>
          <w:sz w:val="22"/>
        </w:rPr>
        <w:t>P&amp;S Intelligence：Indonesia Industrial Automation Market 2025（传感器 35%、SCADA 40%、PLC 增速最快）</w:t>
      </w:r>
    </w:p>
    <w:p>
      <w:pPr>
        <w:spacing w:after="60"/>
        <w:ind w:left="397"/>
      </w:pPr>
      <w:r>
        <w:rPr>
          <w:rFonts w:ascii="宋体" w:hAnsi="宋体" w:eastAsia="宋体"/>
          <w:b/>
          <w:i w:val="0"/>
          <w:color w:val="1F2937"/>
          <w:sz w:val="22"/>
        </w:rPr>
        <w:t xml:space="preserve">6. </w:t>
      </w:r>
      <w:r>
        <w:rPr>
          <w:rFonts w:ascii="宋体" w:hAnsi="宋体" w:eastAsia="宋体"/>
          <w:b w:val="0"/>
          <w:i w:val="0"/>
          <w:color w:val="1F2937"/>
          <w:sz w:val="22"/>
        </w:rPr>
        <w:t>International Federation of Robotics (IFR)：World Robotics Report 2024（全球 542,000 台；亚洲 74%；中国 295,000 台）</w:t>
      </w:r>
    </w:p>
    <w:p>
      <w:pPr>
        <w:spacing w:after="60"/>
        <w:ind w:left="397"/>
      </w:pPr>
      <w:r>
        <w:rPr>
          <w:rFonts w:ascii="宋体" w:hAnsi="宋体" w:eastAsia="宋体"/>
          <w:b/>
          <w:i w:val="0"/>
          <w:color w:val="1F2937"/>
          <w:sz w:val="22"/>
        </w:rPr>
        <w:t xml:space="preserve">7. </w:t>
      </w:r>
      <w:r>
        <w:rPr>
          <w:rFonts w:ascii="宋体" w:hAnsi="宋体" w:eastAsia="宋体"/>
          <w:b w:val="0"/>
          <w:i w:val="0"/>
          <w:color w:val="1F2937"/>
          <w:sz w:val="22"/>
        </w:rPr>
        <w:t>Goldman Sachs：Humanoid Robot Market 2035 Projection（380 亿 USD）</w:t>
      </w:r>
    </w:p>
    <w:p>
      <w:pPr>
        <w:spacing w:after="60"/>
        <w:ind w:left="397"/>
      </w:pPr>
      <w:r>
        <w:rPr>
          <w:rFonts w:ascii="宋体" w:hAnsi="宋体" w:eastAsia="宋体"/>
          <w:b/>
          <w:i w:val="0"/>
          <w:color w:val="1F2937"/>
          <w:sz w:val="22"/>
        </w:rPr>
        <w:t xml:space="preserve">8. </w:t>
      </w:r>
      <w:r>
        <w:rPr>
          <w:rFonts w:ascii="宋体" w:hAnsi="宋体" w:eastAsia="宋体"/>
          <w:b w:val="0"/>
          <w:i w:val="0"/>
          <w:color w:val="1F2937"/>
          <w:sz w:val="22"/>
        </w:rPr>
        <w:t>Oxford Business Group：Indonesia 2024 Industry Report（制造业 18.7% GDP 占比、1,930 万从业者）</w:t>
      </w:r>
    </w:p>
    <w:p>
      <w:pPr>
        <w:spacing w:after="60"/>
        <w:ind w:left="397"/>
      </w:pPr>
      <w:r>
        <w:rPr>
          <w:rFonts w:ascii="宋体" w:hAnsi="宋体" w:eastAsia="宋体"/>
          <w:b/>
          <w:i w:val="0"/>
          <w:color w:val="1F2937"/>
          <w:sz w:val="22"/>
        </w:rPr>
        <w:t xml:space="preserve">9. </w:t>
      </w:r>
      <w:r>
        <w:rPr>
          <w:rFonts w:ascii="宋体" w:hAnsi="宋体" w:eastAsia="宋体"/>
          <w:b w:val="0"/>
          <w:i w:val="0"/>
          <w:color w:val="1F2937"/>
          <w:sz w:val="22"/>
        </w:rPr>
        <w:t>PT Isuzu Astra Motor Indonesia（IAMI）官方声明：2024-06 INDI 4.0 商用车首家认证 + 2024-10 智能工厂类别奖</w:t>
      </w:r>
    </w:p>
    <w:p>
      <w:pPr>
        <w:spacing w:after="60"/>
        <w:ind w:left="397"/>
      </w:pPr>
      <w:r>
        <w:rPr>
          <w:rFonts w:ascii="宋体" w:hAnsi="宋体" w:eastAsia="宋体"/>
          <w:b/>
          <w:i w:val="0"/>
          <w:color w:val="1F2937"/>
          <w:sz w:val="22"/>
        </w:rPr>
        <w:t xml:space="preserve">10. </w:t>
      </w:r>
      <w:r>
        <w:rPr>
          <w:rFonts w:ascii="宋体" w:hAnsi="宋体" w:eastAsia="宋体"/>
          <w:b w:val="0"/>
          <w:i w:val="0"/>
          <w:color w:val="1F2937"/>
          <w:sz w:val="22"/>
        </w:rPr>
        <w:t>ReportLinker：Indonesia Robotics Market Report Q1 2025（PT Astra Daihatsu Motor、Doosan Robotics 案例）</w:t>
      </w:r>
    </w:p>
    <w:p>
      <w:pPr>
        <w:spacing w:after="60"/>
        <w:ind w:left="397"/>
      </w:pPr>
      <w:r>
        <w:rPr>
          <w:rFonts w:ascii="宋体" w:hAnsi="宋体" w:eastAsia="宋体"/>
          <w:b/>
          <w:i w:val="0"/>
          <w:color w:val="1F2937"/>
          <w:sz w:val="22"/>
        </w:rPr>
        <w:t xml:space="preserve">11. </w:t>
      </w:r>
      <w:r>
        <w:rPr>
          <w:rFonts w:ascii="宋体" w:hAnsi="宋体" w:eastAsia="宋体"/>
          <w:b w:val="0"/>
          <w:i w:val="0"/>
          <w:color w:val="1F2937"/>
          <w:sz w:val="22"/>
        </w:rPr>
        <w:t>VOI：Isuzu Astra Indonesia 获得 INDI 4.0 奖 2024 智能工厂类别</w:t>
      </w:r>
    </w:p>
    <w:p>
      <w:pPr>
        <w:spacing w:after="60"/>
        <w:ind w:left="397"/>
      </w:pPr>
      <w:r>
        <w:rPr>
          <w:rFonts w:ascii="宋体" w:hAnsi="宋体" w:eastAsia="宋体"/>
          <w:b/>
          <w:i w:val="0"/>
          <w:color w:val="1F2937"/>
          <w:sz w:val="22"/>
        </w:rPr>
        <w:t xml:space="preserve">12. </w:t>
      </w:r>
      <w:r>
        <w:rPr>
          <w:rFonts w:ascii="宋体" w:hAnsi="宋体" w:eastAsia="宋体"/>
          <w:b w:val="0"/>
          <w:i w:val="0"/>
          <w:color w:val="1F2937"/>
          <w:sz w:val="22"/>
        </w:rPr>
        <w:t>ANTARA News（2025-07-14）：工业部长 Agus Gumiwang Kartasasmita 在广岛大学的 SBIN 公开演讲</w:t>
      </w:r>
    </w:p>
    <w:p>
      <w:pPr>
        <w:spacing w:after="60"/>
        <w:ind w:left="397"/>
      </w:pPr>
      <w:r>
        <w:rPr>
          <w:rFonts w:ascii="宋体" w:hAnsi="宋体" w:eastAsia="宋体"/>
          <w:b/>
          <w:i w:val="0"/>
          <w:color w:val="1F2937"/>
          <w:sz w:val="22"/>
        </w:rPr>
        <w:t xml:space="preserve">13. </w:t>
      </w:r>
      <w:r>
        <w:rPr>
          <w:rFonts w:ascii="宋体" w:hAnsi="宋体" w:eastAsia="宋体"/>
          <w:b w:val="0"/>
          <w:i w:val="0"/>
          <w:color w:val="1F2937"/>
          <w:sz w:val="22"/>
        </w:rPr>
        <w:t>TTWTO VCCI：Beyond Data Centers - How Nickel Could Move Indonesia Up ASEAN's AI Value Chain（菲律宾 / 泰国 / 印尼对比）</w:t>
      </w:r>
    </w:p>
    <w:p>
      <w:pPr>
        <w:spacing w:after="60"/>
        <w:ind w:left="397"/>
      </w:pPr>
      <w:r>
        <w:rPr>
          <w:rFonts w:ascii="宋体" w:hAnsi="宋体" w:eastAsia="宋体"/>
          <w:b/>
          <w:i w:val="0"/>
          <w:color w:val="1F2937"/>
          <w:sz w:val="22"/>
        </w:rPr>
        <w:t xml:space="preserve">14. </w:t>
      </w:r>
      <w:r>
        <w:rPr>
          <w:rFonts w:ascii="宋体" w:hAnsi="宋体" w:eastAsia="宋体"/>
          <w:b w:val="0"/>
          <w:i w:val="0"/>
          <w:color w:val="1F2937"/>
          <w:sz w:val="22"/>
        </w:rPr>
        <w:t>新经济导刊（2025）：具身智能机器人出海：机遇、挑战与路径选择（中资机器人厂商东盟布局）</w:t>
      </w:r>
    </w:p>
    <w:p>
      <w:pPr>
        <w:spacing w:after="60"/>
        <w:ind w:left="397"/>
      </w:pPr>
      <w:r>
        <w:rPr>
          <w:rFonts w:ascii="宋体" w:hAnsi="宋体" w:eastAsia="宋体"/>
          <w:b/>
          <w:i w:val="0"/>
          <w:color w:val="1F2937"/>
          <w:sz w:val="22"/>
        </w:rPr>
        <w:t xml:space="preserve">15. </w:t>
      </w:r>
      <w:r>
        <w:rPr>
          <w:rFonts w:ascii="宋体" w:hAnsi="宋体" w:eastAsia="宋体"/>
          <w:b w:val="0"/>
          <w:i w:val="0"/>
          <w:color w:val="1F2937"/>
          <w:sz w:val="22"/>
        </w:rPr>
        <w:t>新思界产业研究中心（2025）：2025 年印度尼西亚工业机器人系统集成行业市场现状及海外企业进入可行性研究报告</w:t>
      </w:r>
    </w:p>
    <w:p/>
    <w:p>
      <w:pPr>
        <w:spacing w:after="120"/>
      </w:pPr>
      <w:r>
        <w:rPr>
          <w:rFonts w:ascii="宋体" w:hAnsi="宋体" w:eastAsia="宋体"/>
          <w:b w:val="0"/>
          <w:i w:val="0"/>
          <w:color w:val="4B5563"/>
          <w:sz w:val="18"/>
        </w:rPr>
        <w:t>注：本平台对每一项数据均保留原始口径与时间戳；与本平台「印尼镍矿产业链」一文共享 Morowali 与 Batang 两个工业园区的产业生态分析。本文侧重『机器人与具身智能的高端制造视角』，与「印尼镍矿」一文侧重『镍矿下游化路径』互补。</w:t>
      </w:r>
    </w:p>
    <w:sectPr w:rsidR="00FC693F" w:rsidRPr="0006063C"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