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eastAsia="Arial"/>
          <w:b/>
          <w:i w:val="0"/>
          <w:color w:val="0B3A5C"/>
          <w:sz w:val="36"/>
        </w:rPr>
        <w:t>Indonesia's Industrial Robotics and Embodied Intelligence Industry Chain</w:t>
      </w:r>
    </w:p>
    <w:p>
      <w:pPr>
        <w:spacing w:after="120"/>
        <w:jc w:val="center"/>
      </w:pPr>
      <w:r>
        <w:rPr>
          <w:rFonts w:ascii="Arial" w:hAnsi="Arial" w:eastAsia="Arial"/>
          <w:b/>
          <w:i w:val="0"/>
          <w:color w:val="0B3A5C"/>
          <w:sz w:val="36"/>
        </w:rPr>
        <w:t>From 'Making Indonesia 4.0' to the Leap Toward Advanced Manufacturing</w:t>
      </w:r>
    </w:p>
    <w:p>
      <w:pPr>
        <w:jc w:val="center"/>
      </w:pPr>
      <w:r>
        <w:rPr>
          <w:rFonts w:ascii="Calibri" w:hAnsi="Calibri" w:eastAsia="Calibri"/>
          <w:b w:val="0"/>
          <w:i w:val="0"/>
          <w:color w:val="4B5563"/>
          <w:sz w:val="19"/>
        </w:rPr>
        <w:t>corpusdi Regional &amp; Country Data Open Platform · Country Study (Southeast Asia) · Industry Investment / Advanced Manufacturing / Sustainable Development</w:t>
      </w:r>
    </w:p>
    <w:p>
      <w:pPr>
        <w:jc w:val="center"/>
      </w:pPr>
      <w:r>
        <w:rPr>
          <w:rFonts w:ascii="Calibri" w:hAnsi="Calibri" w:eastAsia="Calibri"/>
          <w:b w:val="0"/>
          <w:i w:val="0"/>
          <w:color w:val="4B5563"/>
          <w:sz w:val="19"/>
        </w:rPr>
        <w:t>Sources: Indonesian Ministry of Industry (Making Indonesia 4.0), IFR (International Federation of Robotics), Mordor Intelligence, Statista, 6W Research, P&amp;S Intelligence, Goldman Sachs, Oxford Business Group, TTWTO/VCCI, XINJJJ Research Center, New Economy Herald, etc.</w:t>
      </w:r>
    </w:p>
    <w:p>
      <w:pPr>
        <w:spacing w:before="280" w:after="80"/>
      </w:pPr>
      <w:r>
        <w:rPr>
          <w:rFonts w:ascii="Arial" w:hAnsi="Arial" w:eastAsia="Arial"/>
          <w:b/>
          <w:i w:val="0"/>
          <w:color w:val="0B3A5C"/>
          <w:sz w:val="28"/>
        </w:rPr>
        <w:t>Abstract</w:t>
      </w:r>
    </w:p>
    <w:p>
      <w:pPr>
        <w:spacing w:line="408" w:lineRule="auto" w:after="120"/>
        <w:jc w:val="both"/>
      </w:pPr>
      <w:r>
        <w:rPr>
          <w:rFonts w:ascii="Calibri" w:hAnsi="Calibri" w:eastAsia="Calibri"/>
          <w:b w:val="0"/>
          <w:i w:val="0"/>
          <w:color w:val="1F2937"/>
          <w:sz w:val="22"/>
        </w:rPr>
        <w:t>Seven years after the launch of Making Indonesia 4.0, and with industrial robotics and embodied intelligence repeatedly placed at the top of Indonesia's industrial-policy priority list since 2021, the country's high-end manufacturing-equipment market is caught in a three-way tug-of-war: dominated by foreign suppliers, with local integration capacity catching up quickly, and with the policy apparatus only just beginning to absorb sustainability concerns. This paper triangulates market data (IFR 2024, Mordor, Statista, 6W Research) with policy sources (Ministry of Industry, ANTARA, Oxford Business Group) to answer five questions: Where is the real market for industrial robots and embodied intelligence in Indonesia? How does the government translate 'Industry 4.0' into executable industrial KPIs? Who actually delivers high-end integration (foreign brands, Japanese/Korean/European OEMs, local system integrators, or Chinese robot makers)? What does the local Indonesian perspective on this value chain look like? And where does Indonesia sit within Southeast Asia, compared with the Philippines, Thailand, and Vietnam?</w:t>
      </w:r>
    </w:p>
    <w:p>
      <w:pPr>
        <w:spacing w:before="280" w:after="80"/>
      </w:pPr>
      <w:r>
        <w:rPr>
          <w:rFonts w:ascii="Arial" w:hAnsi="Arial" w:eastAsia="Arial"/>
          <w:b/>
          <w:i w:val="0"/>
          <w:color w:val="0B3A5C"/>
          <w:sz w:val="28"/>
        </w:rPr>
        <w:t>1. Methodology First: Five Different Ways to Count Robots</w:t>
      </w:r>
    </w:p>
    <w:p>
      <w:pPr>
        <w:spacing w:line="408" w:lineRule="auto" w:after="120"/>
        <w:jc w:val="both"/>
      </w:pPr>
      <w:r>
        <w:rPr>
          <w:rFonts w:ascii="Calibri" w:hAnsi="Calibri" w:eastAsia="Calibri"/>
          <w:b w:val="0"/>
          <w:i w:val="0"/>
          <w:color w:val="1F2937"/>
          <w:sz w:val="22"/>
        </w:rPr>
        <w:t>Before judging Indonesia's industrial-robotics and embodied-intelligence scorecard, one has to disentangle what the word 'robot' actually means across measurement frameworks. The same physical machine can be reported as an 'industrial robot', a 'collaborative robot (cobot)', a 'service robot', a 'humanoid robot', or an 'AI-enabled robot'. Mixing these definitions produces immediate misinterpretation.</w:t>
      </w:r>
    </w:p>
    <w:p>
      <w:pPr>
        <w:spacing w:before="200" w:after="40"/>
      </w:pPr>
      <w:r>
        <w:rPr>
          <w:rFonts w:ascii="Arial" w:hAnsi="Arial" w:eastAsia="Arial"/>
          <w:b/>
          <w:i w:val="0"/>
          <w:color w:val="0E7C8A"/>
          <w:sz w:val="24"/>
        </w:rPr>
        <w:t>Table 1: Five Measurement Lenses for Indonesia's Robotics &amp; Embodied Intelligence Market (2024-2025)</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Arial" w:hAnsi="Arial" w:eastAsia="Arial"/>
                <w:b/>
                <w:i w:val="0"/>
                <w:color w:val="0B3A5C"/>
                <w:sz w:val="20"/>
              </w:rPr>
              <w:t>Metric</w:t>
            </w:r>
          </w:p>
        </w:tc>
        <w:tc>
          <w:tcPr>
            <w:tcW w:type="dxa" w:w="2379"/>
          </w:tcPr>
          <w:p>
            <w:pPr>
              <w:jc w:val="center"/>
            </w:pPr>
            <w:r/>
            <w:r>
              <w:rPr>
                <w:rFonts w:ascii="Arial" w:hAnsi="Arial" w:eastAsia="Arial"/>
                <w:b/>
                <w:i w:val="0"/>
                <w:color w:val="0B3A5C"/>
                <w:sz w:val="20"/>
              </w:rPr>
              <w:t>Recent value</w:t>
            </w:r>
          </w:p>
        </w:tc>
        <w:tc>
          <w:tcPr>
            <w:tcW w:type="dxa" w:w="2379"/>
          </w:tcPr>
          <w:p>
            <w:pPr>
              <w:jc w:val="center"/>
            </w:pPr>
            <w:r/>
            <w:r>
              <w:rPr>
                <w:rFonts w:ascii="Arial" w:hAnsi="Arial" w:eastAsia="Arial"/>
                <w:b/>
                <w:i w:val="0"/>
                <w:color w:val="0B3A5C"/>
                <w:sz w:val="20"/>
              </w:rPr>
              <w:t>Forward / growth path</w:t>
            </w:r>
          </w:p>
        </w:tc>
        <w:tc>
          <w:tcPr>
            <w:tcW w:type="dxa" w:w="2379"/>
          </w:tcPr>
          <w:p>
            <w:pPr>
              <w:jc w:val="center"/>
            </w:pPr>
            <w:r/>
            <w:r>
              <w:rPr>
                <w:rFonts w:ascii="Arial" w:hAnsi="Arial" w:eastAsia="Arial"/>
                <w:b/>
                <w:i w:val="0"/>
                <w:color w:val="0B3A5C"/>
                <w:sz w:val="20"/>
              </w:rPr>
              <w:t>Primary source</w:t>
            </w:r>
          </w:p>
        </w:tc>
      </w:tr>
      <w:tr>
        <w:tc>
          <w:tcPr>
            <w:tcW w:type="dxa" w:w="2379"/>
          </w:tcPr>
          <w:p>
            <w:pPr>
              <w:jc w:val="center"/>
            </w:pPr>
            <w:r/>
            <w:r>
              <w:rPr>
                <w:rFonts w:ascii="Calibri" w:hAnsi="Calibri" w:eastAsia="Calibri"/>
                <w:b w:val="0"/>
                <w:i w:val="0"/>
                <w:color w:val="1F2937"/>
                <w:sz w:val="19"/>
              </w:rPr>
              <w:t>Industrial robots (market size)</w:t>
            </w:r>
          </w:p>
        </w:tc>
        <w:tc>
          <w:tcPr>
            <w:tcW w:type="dxa" w:w="2379"/>
          </w:tcPr>
          <w:p>
            <w:pPr>
              <w:jc w:val="center"/>
            </w:pPr>
            <w:r/>
            <w:r>
              <w:rPr>
                <w:rFonts w:ascii="Calibri" w:hAnsi="Calibri" w:eastAsia="Calibri"/>
                <w:b w:val="0"/>
                <w:i w:val="0"/>
                <w:color w:val="1F2937"/>
                <w:sz w:val="19"/>
              </w:rPr>
              <w:t>2024: USD 20.24M; 2025e: USD 23.80M</w:t>
            </w:r>
          </w:p>
        </w:tc>
        <w:tc>
          <w:tcPr>
            <w:tcW w:type="dxa" w:w="2379"/>
          </w:tcPr>
          <w:p>
            <w:pPr>
              <w:jc w:val="center"/>
            </w:pPr>
            <w:r/>
            <w:r>
              <w:rPr>
                <w:rFonts w:ascii="Calibri" w:hAnsi="Calibri" w:eastAsia="Calibri"/>
                <w:b w:val="0"/>
                <w:i w:val="0"/>
                <w:color w:val="1F2937"/>
                <w:sz w:val="19"/>
              </w:rPr>
              <w:t>2030e: USD 47.75M (CAGR 14.94%)</w:t>
            </w:r>
          </w:p>
        </w:tc>
        <w:tc>
          <w:tcPr>
            <w:tcW w:type="dxa" w:w="2379"/>
          </w:tcPr>
          <w:p>
            <w:pPr>
              <w:jc w:val="center"/>
            </w:pPr>
            <w:r/>
            <w:r>
              <w:rPr>
                <w:rFonts w:ascii="Calibri" w:hAnsi="Calibri" w:eastAsia="Calibri"/>
                <w:b w:val="0"/>
                <w:i w:val="0"/>
                <w:color w:val="1F2937"/>
                <w:sz w:val="19"/>
              </w:rPr>
              <w:t>Mordor Intelligence</w:t>
            </w:r>
          </w:p>
        </w:tc>
      </w:tr>
      <w:tr>
        <w:tc>
          <w:tcPr>
            <w:tcW w:type="dxa" w:w="2379"/>
          </w:tcPr>
          <w:p>
            <w:pPr>
              <w:jc w:val="center"/>
            </w:pPr>
            <w:r/>
            <w:r>
              <w:rPr>
                <w:rFonts w:ascii="Calibri" w:hAnsi="Calibri" w:eastAsia="Calibri"/>
                <w:b w:val="0"/>
                <w:i w:val="0"/>
                <w:color w:val="1F2937"/>
                <w:sz w:val="19"/>
              </w:rPr>
              <w:t>AI-enabled robot revenue</w:t>
            </w:r>
          </w:p>
        </w:tc>
        <w:tc>
          <w:tcPr>
            <w:tcW w:type="dxa" w:w="2379"/>
          </w:tcPr>
          <w:p>
            <w:pPr>
              <w:jc w:val="center"/>
            </w:pPr>
            <w:r/>
            <w:r>
              <w:rPr>
                <w:rFonts w:ascii="Calibri" w:hAnsi="Calibri" w:eastAsia="Calibri"/>
                <w:b w:val="0"/>
                <w:i w:val="0"/>
                <w:color w:val="1F2937"/>
                <w:sz w:val="19"/>
              </w:rPr>
              <w:t>2024: USD 57.95M</w:t>
            </w:r>
          </w:p>
        </w:tc>
        <w:tc>
          <w:tcPr>
            <w:tcW w:type="dxa" w:w="2379"/>
          </w:tcPr>
          <w:p>
            <w:pPr>
              <w:jc w:val="center"/>
            </w:pPr>
            <w:r/>
            <w:r>
              <w:rPr>
                <w:rFonts w:ascii="Calibri" w:hAnsi="Calibri" w:eastAsia="Calibri"/>
                <w:b w:val="0"/>
                <w:i w:val="0"/>
                <w:color w:val="1F2937"/>
                <w:sz w:val="19"/>
              </w:rPr>
              <w:t>2030e: USD 228.70M (CAGR 25.7%)</w:t>
            </w:r>
          </w:p>
        </w:tc>
        <w:tc>
          <w:tcPr>
            <w:tcW w:type="dxa" w:w="2379"/>
          </w:tcPr>
          <w:p>
            <w:pPr>
              <w:jc w:val="center"/>
            </w:pPr>
            <w:r/>
            <w:r>
              <w:rPr>
                <w:rFonts w:ascii="Calibri" w:hAnsi="Calibri" w:eastAsia="Calibri"/>
                <w:b w:val="0"/>
                <w:i w:val="0"/>
                <w:color w:val="1F2937"/>
                <w:sz w:val="19"/>
              </w:rPr>
              <w:t>Statista / Mordor</w:t>
            </w:r>
          </w:p>
        </w:tc>
      </w:tr>
      <w:tr>
        <w:tc>
          <w:tcPr>
            <w:tcW w:type="dxa" w:w="2379"/>
          </w:tcPr>
          <w:p>
            <w:pPr>
              <w:jc w:val="center"/>
            </w:pPr>
            <w:r/>
            <w:r>
              <w:rPr>
                <w:rFonts w:ascii="Calibri" w:hAnsi="Calibri" w:eastAsia="Calibri"/>
                <w:b w:val="0"/>
                <w:i w:val="0"/>
                <w:color w:val="1F2937"/>
                <w:sz w:val="19"/>
              </w:rPr>
              <w:t>Humanoid robots</w:t>
            </w:r>
          </w:p>
        </w:tc>
        <w:tc>
          <w:tcPr>
            <w:tcW w:type="dxa" w:w="2379"/>
          </w:tcPr>
          <w:p>
            <w:pPr>
              <w:jc w:val="center"/>
            </w:pPr>
            <w:r/>
            <w:r>
              <w:rPr>
                <w:rFonts w:ascii="Calibri" w:hAnsi="Calibri" w:eastAsia="Calibri"/>
                <w:b w:val="0"/>
                <w:i w:val="0"/>
                <w:color w:val="1F2937"/>
                <w:sz w:val="19"/>
              </w:rPr>
              <w:t>2023: USD 10.07M; 2024e: USD 15.12M</w:t>
            </w:r>
          </w:p>
        </w:tc>
        <w:tc>
          <w:tcPr>
            <w:tcW w:type="dxa" w:w="2379"/>
          </w:tcPr>
          <w:p>
            <w:pPr>
              <w:jc w:val="center"/>
            </w:pPr>
            <w:r/>
            <w:r>
              <w:rPr>
                <w:rFonts w:ascii="Calibri" w:hAnsi="Calibri" w:eastAsia="Calibri"/>
                <w:b w:val="0"/>
                <w:i w:val="0"/>
                <w:color w:val="1F2937"/>
                <w:sz w:val="19"/>
              </w:rPr>
              <w:t>2035e: USD 200M (CAGR 26.5%)</w:t>
            </w:r>
          </w:p>
        </w:tc>
        <w:tc>
          <w:tcPr>
            <w:tcW w:type="dxa" w:w="2379"/>
          </w:tcPr>
          <w:p>
            <w:pPr>
              <w:jc w:val="center"/>
            </w:pPr>
            <w:r/>
            <w:r>
              <w:rPr>
                <w:rFonts w:ascii="Calibri" w:hAnsi="Calibri" w:eastAsia="Calibri"/>
                <w:b w:val="0"/>
                <w:i w:val="0"/>
                <w:color w:val="1F2937"/>
                <w:sz w:val="19"/>
              </w:rPr>
              <w:t>Sunrise Expo via Mordor</w:t>
            </w:r>
          </w:p>
        </w:tc>
      </w:tr>
      <w:tr>
        <w:tc>
          <w:tcPr>
            <w:tcW w:type="dxa" w:w="2379"/>
          </w:tcPr>
          <w:p>
            <w:pPr>
              <w:jc w:val="center"/>
            </w:pPr>
            <w:r/>
            <w:r>
              <w:rPr>
                <w:rFonts w:ascii="Calibri" w:hAnsi="Calibri" w:eastAsia="Calibri"/>
                <w:b w:val="0"/>
                <w:i w:val="0"/>
                <w:color w:val="1F2937"/>
                <w:sz w:val="19"/>
              </w:rPr>
              <w:t>Industrial automation &amp; control systems (incl. PLC/SCADA/HMI)</w:t>
            </w:r>
          </w:p>
        </w:tc>
        <w:tc>
          <w:tcPr>
            <w:tcW w:type="dxa" w:w="2379"/>
          </w:tcPr>
          <w:p>
            <w:pPr>
              <w:jc w:val="center"/>
            </w:pPr>
            <w:r/>
            <w:r>
              <w:rPr>
                <w:rFonts w:ascii="Calibri" w:hAnsi="Calibri" w:eastAsia="Calibri"/>
                <w:b w:val="0"/>
                <w:i w:val="0"/>
                <w:color w:val="1F2937"/>
                <w:sz w:val="19"/>
              </w:rPr>
              <w:t>2024: USD 3.40B</w:t>
            </w:r>
          </w:p>
        </w:tc>
        <w:tc>
          <w:tcPr>
            <w:tcW w:type="dxa" w:w="2379"/>
          </w:tcPr>
          <w:p>
            <w:pPr>
              <w:jc w:val="center"/>
            </w:pPr>
            <w:r/>
            <w:r>
              <w:rPr>
                <w:rFonts w:ascii="Calibri" w:hAnsi="Calibri" w:eastAsia="Calibri"/>
                <w:b w:val="0"/>
                <w:i w:val="0"/>
                <w:color w:val="1F2937"/>
                <w:sz w:val="19"/>
              </w:rPr>
              <w:t>2033e: USD 8.40B (CAGR 9.6%)</w:t>
            </w:r>
          </w:p>
        </w:tc>
        <w:tc>
          <w:tcPr>
            <w:tcW w:type="dxa" w:w="2379"/>
          </w:tcPr>
          <w:p>
            <w:pPr>
              <w:jc w:val="center"/>
            </w:pPr>
            <w:r/>
            <w:r>
              <w:rPr>
                <w:rFonts w:ascii="Calibri" w:hAnsi="Calibri" w:eastAsia="Calibri"/>
                <w:b w:val="0"/>
                <w:i w:val="0"/>
                <w:color w:val="1F2937"/>
                <w:sz w:val="19"/>
              </w:rPr>
              <w:t>Technavio / 6W Research</w:t>
            </w:r>
          </w:p>
        </w:tc>
      </w:tr>
      <w:tr>
        <w:tc>
          <w:tcPr>
            <w:tcW w:type="dxa" w:w="2379"/>
          </w:tcPr>
          <w:p>
            <w:pPr>
              <w:jc w:val="center"/>
            </w:pPr>
            <w:r/>
            <w:r>
              <w:rPr>
                <w:rFonts w:ascii="Calibri" w:hAnsi="Calibri" w:eastAsia="Calibri"/>
                <w:b w:val="0"/>
                <w:i w:val="0"/>
                <w:color w:val="1F2937"/>
                <w:sz w:val="19"/>
              </w:rPr>
              <w:t>Manufacturing share of GDP</w:t>
            </w:r>
          </w:p>
        </w:tc>
        <w:tc>
          <w:tcPr>
            <w:tcW w:type="dxa" w:w="2379"/>
          </w:tcPr>
          <w:p>
            <w:pPr>
              <w:jc w:val="center"/>
            </w:pPr>
            <w:r/>
            <w:r>
              <w:rPr>
                <w:rFonts w:ascii="Calibri" w:hAnsi="Calibri" w:eastAsia="Calibri"/>
                <w:b w:val="0"/>
                <w:i w:val="0"/>
                <w:color w:val="1F2937"/>
                <w:sz w:val="19"/>
              </w:rPr>
              <w:t>2023: 18.7% (largest single sector); 2024: USD 196B in manufacturing exports</w:t>
            </w:r>
          </w:p>
        </w:tc>
        <w:tc>
          <w:tcPr>
            <w:tcW w:type="dxa" w:w="2379"/>
          </w:tcPr>
          <w:p>
            <w:pPr>
              <w:jc w:val="center"/>
            </w:pPr>
            <w:r/>
            <w:r>
              <w:rPr>
                <w:rFonts w:ascii="Calibri" w:hAnsi="Calibri" w:eastAsia="Calibri"/>
                <w:b w:val="0"/>
                <w:i w:val="0"/>
                <w:color w:val="1F2937"/>
                <w:sz w:val="19"/>
              </w:rPr>
              <w:t>2030 target: 25% (SBIN roadmap)</w:t>
            </w:r>
          </w:p>
        </w:tc>
        <w:tc>
          <w:tcPr>
            <w:tcW w:type="dxa" w:w="2379"/>
          </w:tcPr>
          <w:p>
            <w:pPr>
              <w:jc w:val="center"/>
            </w:pPr>
            <w:r/>
            <w:r>
              <w:rPr>
                <w:rFonts w:ascii="Calibri" w:hAnsi="Calibri" w:eastAsia="Calibri"/>
                <w:b w:val="0"/>
                <w:i w:val="0"/>
                <w:color w:val="1F2937"/>
                <w:sz w:val="19"/>
              </w:rPr>
              <w:t>Indonesian MoI / XINJJJ Research</w:t>
            </w:r>
          </w:p>
        </w:tc>
      </w:tr>
      <w:tr>
        <w:tc>
          <w:tcPr>
            <w:tcW w:type="dxa" w:w="2379"/>
          </w:tcPr>
          <w:p>
            <w:pPr>
              <w:jc w:val="center"/>
            </w:pPr>
            <w:r/>
            <w:r>
              <w:rPr>
                <w:rFonts w:ascii="Calibri" w:hAnsi="Calibri" w:eastAsia="Calibri"/>
                <w:b w:val="0"/>
                <w:i w:val="0"/>
                <w:color w:val="1F2937"/>
                <w:sz w:val="19"/>
              </w:rPr>
              <w:t>Global industrial robot installation density (comparison)</w:t>
            </w:r>
          </w:p>
        </w:tc>
        <w:tc>
          <w:tcPr>
            <w:tcW w:type="dxa" w:w="2379"/>
          </w:tcPr>
          <w:p>
            <w:pPr>
              <w:jc w:val="center"/>
            </w:pPr>
            <w:r/>
            <w:r>
              <w:rPr>
                <w:rFonts w:ascii="Calibri" w:hAnsi="Calibri" w:eastAsia="Calibri"/>
                <w:b w:val="0"/>
                <w:i w:val="0"/>
                <w:color w:val="1F2937"/>
                <w:sz w:val="19"/>
              </w:rPr>
              <w:t>Global 542,000 units (2024); Asia 74%; China 295,000 units; cumulative stock &gt;2.8M</w:t>
            </w:r>
          </w:p>
        </w:tc>
        <w:tc>
          <w:tcPr>
            <w:tcW w:type="dxa" w:w="2379"/>
          </w:tcPr>
          <w:p>
            <w:pPr>
              <w:jc w:val="center"/>
            </w:pPr>
            <w:r/>
            <w:r>
              <w:rPr>
                <w:rFonts w:ascii="Calibri" w:hAnsi="Calibri" w:eastAsia="Calibri"/>
                <w:b w:val="0"/>
                <w:i w:val="0"/>
                <w:color w:val="1F2937"/>
                <w:sz w:val="19"/>
              </w:rPr>
              <w:t>Goldman Sachs: humanoids USD 38B by 2035</w:t>
            </w:r>
          </w:p>
        </w:tc>
        <w:tc>
          <w:tcPr>
            <w:tcW w:type="dxa" w:w="2379"/>
          </w:tcPr>
          <w:p>
            <w:pPr>
              <w:jc w:val="center"/>
            </w:pPr>
            <w:r/>
            <w:r>
              <w:rPr>
                <w:rFonts w:ascii="Calibri" w:hAnsi="Calibri" w:eastAsia="Calibri"/>
                <w:b w:val="0"/>
                <w:i w:val="0"/>
                <w:color w:val="1F2937"/>
                <w:sz w:val="19"/>
              </w:rPr>
              <w:t>IFR / Goldman Sachs</w:t>
            </w:r>
          </w:p>
        </w:tc>
      </w:tr>
      <w:tr>
        <w:tc>
          <w:tcPr>
            <w:tcW w:type="dxa" w:w="2379"/>
          </w:tcPr>
          <w:p>
            <w:pPr>
              <w:jc w:val="center"/>
            </w:pPr>
            <w:r/>
            <w:r>
              <w:rPr>
                <w:rFonts w:ascii="Calibri" w:hAnsi="Calibri" w:eastAsia="Calibri"/>
                <w:b w:val="0"/>
                <w:i w:val="0"/>
                <w:color w:val="1F2937"/>
                <w:sz w:val="19"/>
              </w:rPr>
              <w:t>Manufacturing employment</w:t>
            </w:r>
          </w:p>
        </w:tc>
        <w:tc>
          <w:tcPr>
            <w:tcW w:type="dxa" w:w="2379"/>
          </w:tcPr>
          <w:p>
            <w:pPr>
              <w:jc w:val="center"/>
            </w:pPr>
            <w:r/>
            <w:r>
              <w:rPr>
                <w:rFonts w:ascii="Calibri" w:hAnsi="Calibri" w:eastAsia="Calibri"/>
                <w:b w:val="0"/>
                <w:i w:val="0"/>
                <w:color w:val="1F2937"/>
                <w:sz w:val="19"/>
              </w:rPr>
              <w:t>2023: 19.3 million</w:t>
            </w:r>
          </w:p>
        </w:tc>
        <w:tc>
          <w:tcPr>
            <w:tcW w:type="dxa" w:w="2379"/>
          </w:tcPr>
          <w:p>
            <w:pPr>
              <w:jc w:val="center"/>
            </w:pPr>
            <w:r/>
            <w:r>
              <w:rPr>
                <w:rFonts w:ascii="Calibri" w:hAnsi="Calibri" w:eastAsia="Calibri"/>
                <w:b w:val="0"/>
                <w:i w:val="0"/>
                <w:color w:val="1F2937"/>
                <w:sz w:val="19"/>
              </w:rPr>
              <w:t>Industry 4.0 path targets additional 10M jobs 2025-2035</w:t>
            </w:r>
          </w:p>
        </w:tc>
        <w:tc>
          <w:tcPr>
            <w:tcW w:type="dxa" w:w="2379"/>
          </w:tcPr>
          <w:p>
            <w:pPr>
              <w:jc w:val="center"/>
            </w:pPr>
            <w:r/>
            <w:r>
              <w:rPr>
                <w:rFonts w:ascii="Calibri" w:hAnsi="Calibri" w:eastAsia="Calibri"/>
                <w:b w:val="0"/>
                <w:i w:val="0"/>
                <w:color w:val="1F2937"/>
                <w:sz w:val="19"/>
              </w:rPr>
              <w:t>Indonesian MoI / P&amp;S Intelligence</w:t>
            </w:r>
          </w:p>
        </w:tc>
      </w:tr>
    </w:tbl>
    <w:p>
      <w:pPr>
        <w:spacing w:after="120"/>
      </w:pPr>
      <w:r>
        <w:rPr>
          <w:rFonts w:ascii="Calibri" w:hAnsi="Calibri" w:eastAsia="Calibri"/>
          <w:b w:val="0"/>
          <w:i w:val="0"/>
          <w:color w:val="4B5563"/>
          <w:sz w:val="18"/>
        </w:rPr>
        <w:t>Note: Mordor/Statista/6W Research/P&amp;S Intelligence figures are USD-equivalent, which differs from IFR's global installation count (units vs. dollars). Goldman Sachs' USD 38 billion projection for humanoids by 2035 is a 'possible' range, not a commitment.</w:t>
      </w:r>
    </w:p>
    <w:p>
      <w:pPr>
        <w:spacing w:line="408" w:lineRule="auto" w:after="120"/>
        <w:jc w:val="both"/>
      </w:pPr>
      <w:r>
        <w:rPr>
          <w:rFonts w:ascii="Calibri" w:hAnsi="Calibri" w:eastAsia="Calibri"/>
          <w:b w:val="0"/>
          <w:i w:val="0"/>
          <w:color w:val="1F2937"/>
          <w:sz w:val="22"/>
        </w:rPr>
        <w:t>A typical misreading treats 'humanoid robots' as identical to 'embodied intelligence' and then to 'industrial robots'. In reality, the three differ substantially in physical form, AI capability, application scenario, and price band. Industrial robots—typified by automotive welding and painting—sell for USD 50,000–250,000 per unit, with the bulk of cost in the body plus integration. Collaborative robots (cobots) sell for USD 10,000–50,000 per unit, with short deployment cycles and fit small-batch precision assembly. Embodied intelligence and humanoid robots are still mostly in education, services, and medical demonstrations, priced at USD 100,000–300,000 per unit, but have not yet scaled in industrial settings.</w:t>
      </w:r>
    </w:p>
    <w:p>
      <w:pPr>
        <w:spacing w:before="280" w:after="80"/>
      </w:pPr>
      <w:r>
        <w:rPr>
          <w:rFonts w:ascii="Arial" w:hAnsi="Arial" w:eastAsia="Arial"/>
          <w:b/>
          <w:i w:val="0"/>
          <w:color w:val="0B3A5C"/>
          <w:sz w:val="28"/>
        </w:rPr>
        <w:t>2. Policy Framework: From Making Indonesia 4.0 to SBIN</w:t>
      </w:r>
    </w:p>
    <w:p>
      <w:pPr>
        <w:spacing w:line="408" w:lineRule="auto" w:after="120"/>
        <w:jc w:val="both"/>
      </w:pPr>
      <w:r>
        <w:rPr>
          <w:rFonts w:ascii="Calibri" w:hAnsi="Calibri" w:eastAsia="Calibri"/>
          <w:b w:val="0"/>
          <w:i w:val="0"/>
          <w:color w:val="1F2937"/>
          <w:sz w:val="22"/>
        </w:rPr>
        <w:t>Indonesia's policy on industrial robotics and embodied intelligence is not a single-point stimulus but a four-layer architecture: an overarching plan (Making Indonesia 4.0), an assessment tool (INDI 4.0), an implementation centre (PIDI 4.0), and a new-stage industrialization strategy (SBIN / Asta Cita). Each one directly or indirectly shapes demand for robots and embodied intelligence.</w:t>
      </w:r>
    </w:p>
    <w:p>
      <w:pPr>
        <w:spacing w:before="200" w:after="40"/>
      </w:pPr>
      <w:r>
        <w:rPr>
          <w:rFonts w:ascii="Arial" w:hAnsi="Arial" w:eastAsia="Arial"/>
          <w:b/>
          <w:i w:val="0"/>
          <w:color w:val="0E7C8A"/>
          <w:sz w:val="24"/>
        </w:rPr>
        <w:t>2.1 Top-level plan: Making Indonesia 4.0 (2018; new stage from 2025)</w:t>
      </w:r>
    </w:p>
    <w:p>
      <w:pPr>
        <w:spacing w:line="408" w:lineRule="auto" w:after="120"/>
        <w:jc w:val="both"/>
      </w:pPr>
      <w:r>
        <w:rPr>
          <w:rFonts w:ascii="Calibri" w:hAnsi="Calibri" w:eastAsia="Calibri"/>
          <w:b w:val="0"/>
          <w:i w:val="0"/>
          <w:color w:val="1F2937"/>
          <w:sz w:val="22"/>
        </w:rPr>
        <w:t>Launched in 2018 by Indonesia's Ministry of Industry, Making Indonesia 4.0 is the country's master plan to plug into the global Industry 4.0 wave. Its four core elements: (1) Five priority sectors—automotive, textiles, chemicals, food &amp; beverage, electronics—together accounting for around 60% of Indonesian manufacturing value-added and the highest robot-density industries; (2) Seven enabling technologies—IoT, AI, human-machine interfaces, robotics and sensor technology, 3D printing, etc.; (3) Goals—Indonesia among the world's top ten economies by 2030, 2% of GDP invested in R&amp;D, manufacturing share of GDP lifted from 18.7% (2023) to 25% (2030 target); (4) One-stop service—Pusat Industri Digital Indonesia 4.0 (PIDI 4.0) as the national implementation hub.</w:t>
      </w:r>
    </w:p>
    <w:p>
      <w:pPr>
        <w:spacing w:before="200" w:after="40"/>
      </w:pPr>
      <w:r>
        <w:rPr>
          <w:rFonts w:ascii="Arial" w:hAnsi="Arial" w:eastAsia="Arial"/>
          <w:b/>
          <w:i w:val="0"/>
          <w:color w:val="0E7C8A"/>
          <w:sz w:val="24"/>
        </w:rPr>
        <w:t>2.2 Assessment tool: INDI 4.0 (Indonesia Industry 4.0 Readiness Index)</w:t>
      </w:r>
    </w:p>
    <w:p>
      <w:pPr>
        <w:spacing w:line="408" w:lineRule="auto" w:after="120"/>
        <w:jc w:val="both"/>
      </w:pPr>
      <w:r>
        <w:rPr>
          <w:rFonts w:ascii="Calibri" w:hAnsi="Calibri" w:eastAsia="Calibri"/>
          <w:b w:val="0"/>
          <w:i w:val="0"/>
          <w:color w:val="1F2937"/>
          <w:sz w:val="22"/>
        </w:rPr>
        <w:t>INDI 4.0 measures how prepared an enterprise is for the Industry 4.0 transition. Five pillars: Management &amp; Organization; People &amp; Culture; Product &amp; Service; Technology; Plant Operations. A score of 3.0 or above earns certification. By June 2024, PT Isuzu Astra Motor Indonesia (IAMI) became the first Indonesian commercial-vehicle (CV) company to receive INDI 4.0 certification—one of 60+ companies with scores above 3.0; in October 2024, IAMI also won the INDI 4.0 'Smart Factory' category award. PT Astra Daihatsu Motor (ADM) is another frequently cited local high-end-manufacturing integration case, with camera-guided robotics listed as a national Industry 4.0 showcase.</w:t>
      </w:r>
    </w:p>
    <w:p>
      <w:pPr>
        <w:spacing w:before="200" w:after="40"/>
      </w:pPr>
      <w:r>
        <w:rPr>
          <w:rFonts w:ascii="Arial" w:hAnsi="Arial" w:eastAsia="Arial"/>
          <w:b/>
          <w:i w:val="0"/>
          <w:color w:val="0E7C8A"/>
          <w:sz w:val="24"/>
        </w:rPr>
        <w:t>2.3 Implementation hub: PIDI 4.0 (Indonesian Digital Industry Center 4.0)</w:t>
      </w:r>
    </w:p>
    <w:p>
      <w:pPr>
        <w:spacing w:line="408" w:lineRule="auto" w:after="120"/>
        <w:jc w:val="both"/>
      </w:pPr>
      <w:r>
        <w:rPr>
          <w:rFonts w:ascii="Calibri" w:hAnsi="Calibri" w:eastAsia="Calibri"/>
          <w:b w:val="0"/>
          <w:i w:val="0"/>
          <w:color w:val="1F2937"/>
          <w:sz w:val="22"/>
        </w:rPr>
        <w:t>Established in 2019, PIDI 4.0 is the Ministry's frontline interface with manufacturers—offering training, talent certification, pilot demonstrations, and international cooperation (notably with Japan, Germany, and Korea). Robotics and sensor technology are priority course tracks.</w:t>
      </w:r>
    </w:p>
    <w:p>
      <w:pPr>
        <w:spacing w:before="200" w:after="40"/>
      </w:pPr>
      <w:r>
        <w:rPr>
          <w:rFonts w:ascii="Arial" w:hAnsi="Arial" w:eastAsia="Arial"/>
          <w:b/>
          <w:i w:val="0"/>
          <w:color w:val="0E7C8A"/>
          <w:sz w:val="24"/>
        </w:rPr>
        <w:t>2.4 Industrialization strategy: SBIN and Asta Cita (new stage from 2025)</w:t>
      </w:r>
    </w:p>
    <w:p>
      <w:pPr>
        <w:spacing w:line="408" w:lineRule="auto" w:after="120"/>
        <w:jc w:val="both"/>
      </w:pPr>
      <w:r>
        <w:rPr>
          <w:rFonts w:ascii="Calibri" w:hAnsi="Calibri" w:eastAsia="Calibri"/>
          <w:b w:val="0"/>
          <w:i w:val="0"/>
          <w:color w:val="1F2937"/>
          <w:sz w:val="22"/>
        </w:rPr>
        <w:t>On 14 July 2025, Indonesian Minister of Industry Agus Gumiwang Kartasasmita first outlined the SBIN (New National Industrialization Strategy) in a public lecture at Hiroshima University. SBIN is one of six implemented missions under Asta Cita, the Prabowo government's eight-mission national development framework. Its core elements include: (1) Downstreaming of natural resources, now extended to cobalt, lithium, and rare earths; (2) Morowali (Central Sulawesi) as the downstreaming showcase cluster, hosting nickel refining and battery components; (3) 'Industry 4.0 acceleration'—zero-waste dyeing in textiles, blockchain traceability in food &amp; beverage, robotic assembly plus JIT logistics in automotive components; (4) Green industrialization—Batang Industrial Estate (Central Java) as the 'ecological modernization' pilot; (5) Vocational education and training partnerships with Japan, Germany, and Korea.</w:t>
      </w:r>
    </w:p>
    <w:p>
      <w:pPr>
        <w:spacing w:before="200" w:after="40"/>
      </w:pPr>
      <w:r>
        <w:rPr>
          <w:rFonts w:ascii="Arial" w:hAnsi="Arial" w:eastAsia="Arial"/>
          <w:b/>
          <w:i w:val="0"/>
          <w:color w:val="0E7C8A"/>
          <w:sz w:val="24"/>
        </w:rPr>
        <w:t>Table 2: The Four-Layer Policy Framework for Indonesia's Robotics and Embodied Intelligence</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Arial" w:hAnsi="Arial" w:eastAsia="Arial"/>
                <w:b/>
                <w:i w:val="0"/>
                <w:color w:val="0B3A5C"/>
                <w:sz w:val="20"/>
              </w:rPr>
              <w:t>Layer</w:t>
            </w:r>
          </w:p>
        </w:tc>
        <w:tc>
          <w:tcPr>
            <w:tcW w:type="dxa" w:w="2379"/>
          </w:tcPr>
          <w:p>
            <w:pPr>
              <w:jc w:val="center"/>
            </w:pPr>
            <w:r/>
            <w:r>
              <w:rPr>
                <w:rFonts w:ascii="Arial" w:hAnsi="Arial" w:eastAsia="Arial"/>
                <w:b/>
                <w:i w:val="0"/>
                <w:color w:val="0B3A5C"/>
                <w:sz w:val="20"/>
              </w:rPr>
              <w:t>Tool / strategy</w:t>
            </w:r>
          </w:p>
        </w:tc>
        <w:tc>
          <w:tcPr>
            <w:tcW w:type="dxa" w:w="2379"/>
          </w:tcPr>
          <w:p>
            <w:pPr>
              <w:jc w:val="center"/>
            </w:pPr>
            <w:r/>
            <w:r>
              <w:rPr>
                <w:rFonts w:ascii="Arial" w:hAnsi="Arial" w:eastAsia="Arial"/>
                <w:b/>
                <w:i w:val="0"/>
                <w:color w:val="0B3A5C"/>
                <w:sz w:val="20"/>
              </w:rPr>
              <w:t>Launch year</w:t>
            </w:r>
          </w:p>
        </w:tc>
        <w:tc>
          <w:tcPr>
            <w:tcW w:type="dxa" w:w="2379"/>
          </w:tcPr>
          <w:p>
            <w:pPr>
              <w:jc w:val="center"/>
            </w:pPr>
            <w:r/>
            <w:r>
              <w:rPr>
                <w:rFonts w:ascii="Arial" w:hAnsi="Arial" w:eastAsia="Arial"/>
                <w:b/>
                <w:i w:val="0"/>
                <w:color w:val="0B3A5C"/>
                <w:sz w:val="20"/>
              </w:rPr>
              <w:t>Link to robotics / embodied intelligence</w:t>
            </w:r>
          </w:p>
        </w:tc>
      </w:tr>
      <w:tr>
        <w:tc>
          <w:tcPr>
            <w:tcW w:type="dxa" w:w="2379"/>
          </w:tcPr>
          <w:p>
            <w:pPr>
              <w:jc w:val="center"/>
            </w:pPr>
            <w:r/>
            <w:r>
              <w:rPr>
                <w:rFonts w:ascii="Calibri" w:hAnsi="Calibri" w:eastAsia="Calibri"/>
                <w:b w:val="0"/>
                <w:i w:val="0"/>
                <w:color w:val="1F2937"/>
                <w:sz w:val="19"/>
              </w:rPr>
              <w:t>Top-level plan</w:t>
            </w:r>
          </w:p>
        </w:tc>
        <w:tc>
          <w:tcPr>
            <w:tcW w:type="dxa" w:w="2379"/>
          </w:tcPr>
          <w:p>
            <w:pPr>
              <w:jc w:val="center"/>
            </w:pPr>
            <w:r/>
            <w:r>
              <w:rPr>
                <w:rFonts w:ascii="Calibri" w:hAnsi="Calibri" w:eastAsia="Calibri"/>
                <w:b w:val="0"/>
                <w:i w:val="0"/>
                <w:color w:val="1F2937"/>
                <w:sz w:val="19"/>
              </w:rPr>
              <w:t>Making Indonesia 4.0 (five priority sectors, seven enabling technologies)</w:t>
            </w:r>
          </w:p>
        </w:tc>
        <w:tc>
          <w:tcPr>
            <w:tcW w:type="dxa" w:w="2379"/>
          </w:tcPr>
          <w:p>
            <w:pPr>
              <w:jc w:val="center"/>
            </w:pPr>
            <w:r/>
            <w:r>
              <w:rPr>
                <w:rFonts w:ascii="Calibri" w:hAnsi="Calibri" w:eastAsia="Calibri"/>
                <w:b w:val="0"/>
                <w:i w:val="0"/>
                <w:color w:val="1F2937"/>
                <w:sz w:val="19"/>
              </w:rPr>
              <w:t>2018</w:t>
            </w:r>
          </w:p>
        </w:tc>
        <w:tc>
          <w:tcPr>
            <w:tcW w:type="dxa" w:w="2379"/>
          </w:tcPr>
          <w:p>
            <w:pPr>
              <w:jc w:val="center"/>
            </w:pPr>
            <w:r/>
            <w:r>
              <w:rPr>
                <w:rFonts w:ascii="Calibri" w:hAnsi="Calibri" w:eastAsia="Calibri"/>
                <w:b w:val="0"/>
                <w:i w:val="0"/>
                <w:color w:val="1F2937"/>
                <w:sz w:val="19"/>
              </w:rPr>
              <w:t>Explicitly includes 'robotics and sensor technology'</w:t>
            </w:r>
          </w:p>
        </w:tc>
      </w:tr>
      <w:tr>
        <w:tc>
          <w:tcPr>
            <w:tcW w:type="dxa" w:w="2379"/>
          </w:tcPr>
          <w:p>
            <w:pPr>
              <w:jc w:val="center"/>
            </w:pPr>
            <w:r/>
            <w:r>
              <w:rPr>
                <w:rFonts w:ascii="Calibri" w:hAnsi="Calibri" w:eastAsia="Calibri"/>
                <w:b w:val="0"/>
                <w:i w:val="0"/>
                <w:color w:val="1F2937"/>
                <w:sz w:val="19"/>
              </w:rPr>
              <w:t>Assessment tool</w:t>
            </w:r>
          </w:p>
        </w:tc>
        <w:tc>
          <w:tcPr>
            <w:tcW w:type="dxa" w:w="2379"/>
          </w:tcPr>
          <w:p>
            <w:pPr>
              <w:jc w:val="center"/>
            </w:pPr>
            <w:r/>
            <w:r>
              <w:rPr>
                <w:rFonts w:ascii="Calibri" w:hAnsi="Calibri" w:eastAsia="Calibri"/>
                <w:b w:val="0"/>
                <w:i w:val="0"/>
                <w:color w:val="1F2937"/>
                <w:sz w:val="19"/>
              </w:rPr>
              <w:t>INDI 4.0 (five pillars, score ≥ 3.0)</w:t>
            </w:r>
          </w:p>
        </w:tc>
        <w:tc>
          <w:tcPr>
            <w:tcW w:type="dxa" w:w="2379"/>
          </w:tcPr>
          <w:p>
            <w:pPr>
              <w:jc w:val="center"/>
            </w:pPr>
            <w:r/>
            <w:r>
              <w:rPr>
                <w:rFonts w:ascii="Calibri" w:hAnsi="Calibri" w:eastAsia="Calibri"/>
                <w:b w:val="0"/>
                <w:i w:val="0"/>
                <w:color w:val="1F2937"/>
                <w:sz w:val="19"/>
              </w:rPr>
              <w:t>2018–</w:t>
            </w:r>
          </w:p>
        </w:tc>
        <w:tc>
          <w:tcPr>
            <w:tcW w:type="dxa" w:w="2379"/>
          </w:tcPr>
          <w:p>
            <w:pPr>
              <w:jc w:val="center"/>
            </w:pPr>
            <w:r/>
            <w:r>
              <w:rPr>
                <w:rFonts w:ascii="Calibri" w:hAnsi="Calibri" w:eastAsia="Calibri"/>
                <w:b w:val="0"/>
                <w:i w:val="0"/>
                <w:color w:val="1F2937"/>
                <w:sz w:val="19"/>
              </w:rPr>
              <w:t>Drives firms to upgrade automation</w:t>
            </w:r>
          </w:p>
        </w:tc>
      </w:tr>
      <w:tr>
        <w:tc>
          <w:tcPr>
            <w:tcW w:type="dxa" w:w="2379"/>
          </w:tcPr>
          <w:p>
            <w:pPr>
              <w:jc w:val="center"/>
            </w:pPr>
            <w:r/>
            <w:r>
              <w:rPr>
                <w:rFonts w:ascii="Calibri" w:hAnsi="Calibri" w:eastAsia="Calibri"/>
                <w:b w:val="0"/>
                <w:i w:val="0"/>
                <w:color w:val="1F2937"/>
                <w:sz w:val="19"/>
              </w:rPr>
              <w:t>Implementation hub</w:t>
            </w:r>
          </w:p>
        </w:tc>
        <w:tc>
          <w:tcPr>
            <w:tcW w:type="dxa" w:w="2379"/>
          </w:tcPr>
          <w:p>
            <w:pPr>
              <w:jc w:val="center"/>
            </w:pPr>
            <w:r/>
            <w:r>
              <w:rPr>
                <w:rFonts w:ascii="Calibri" w:hAnsi="Calibri" w:eastAsia="Calibri"/>
                <w:b w:val="0"/>
                <w:i w:val="0"/>
                <w:color w:val="1F2937"/>
                <w:sz w:val="19"/>
              </w:rPr>
              <w:t>PIDI 4.0 (one-stop training, pilots, international cooperation)</w:t>
            </w:r>
          </w:p>
        </w:tc>
        <w:tc>
          <w:tcPr>
            <w:tcW w:type="dxa" w:w="2379"/>
          </w:tcPr>
          <w:p>
            <w:pPr>
              <w:jc w:val="center"/>
            </w:pPr>
            <w:r/>
            <w:r>
              <w:rPr>
                <w:rFonts w:ascii="Calibri" w:hAnsi="Calibri" w:eastAsia="Calibri"/>
                <w:b w:val="0"/>
                <w:i w:val="0"/>
                <w:color w:val="1F2937"/>
                <w:sz w:val="19"/>
              </w:rPr>
              <w:t>2019</w:t>
            </w:r>
          </w:p>
        </w:tc>
        <w:tc>
          <w:tcPr>
            <w:tcW w:type="dxa" w:w="2379"/>
          </w:tcPr>
          <w:p>
            <w:pPr>
              <w:jc w:val="center"/>
            </w:pPr>
            <w:r/>
            <w:r>
              <w:rPr>
                <w:rFonts w:ascii="Calibri" w:hAnsi="Calibri" w:eastAsia="Calibri"/>
                <w:b w:val="0"/>
                <w:i w:val="0"/>
                <w:color w:val="1F2937"/>
                <w:sz w:val="19"/>
              </w:rPr>
              <w:t>Robotics and sensors are priority tracks</w:t>
            </w:r>
          </w:p>
        </w:tc>
      </w:tr>
      <w:tr>
        <w:tc>
          <w:tcPr>
            <w:tcW w:type="dxa" w:w="2379"/>
          </w:tcPr>
          <w:p>
            <w:pPr>
              <w:jc w:val="center"/>
            </w:pPr>
            <w:r/>
            <w:r>
              <w:rPr>
                <w:rFonts w:ascii="Calibri" w:hAnsi="Calibri" w:eastAsia="Calibri"/>
                <w:b w:val="0"/>
                <w:i w:val="0"/>
                <w:color w:val="1F2937"/>
                <w:sz w:val="19"/>
              </w:rPr>
              <w:t>Industrialization strategy</w:t>
            </w:r>
          </w:p>
        </w:tc>
        <w:tc>
          <w:tcPr>
            <w:tcW w:type="dxa" w:w="2379"/>
          </w:tcPr>
          <w:p>
            <w:pPr>
              <w:jc w:val="center"/>
            </w:pPr>
            <w:r/>
            <w:r>
              <w:rPr>
                <w:rFonts w:ascii="Calibri" w:hAnsi="Calibri" w:eastAsia="Calibri"/>
                <w:b w:val="0"/>
                <w:i w:val="0"/>
                <w:color w:val="1F2937"/>
                <w:sz w:val="19"/>
              </w:rPr>
              <w:t>SBIN + Asta Cita (eight missions)</w:t>
            </w:r>
          </w:p>
        </w:tc>
        <w:tc>
          <w:tcPr>
            <w:tcW w:type="dxa" w:w="2379"/>
          </w:tcPr>
          <w:p>
            <w:pPr>
              <w:jc w:val="center"/>
            </w:pPr>
            <w:r/>
            <w:r>
              <w:rPr>
                <w:rFonts w:ascii="Calibri" w:hAnsi="Calibri" w:eastAsia="Calibri"/>
                <w:b w:val="0"/>
                <w:i w:val="0"/>
                <w:color w:val="1F2937"/>
                <w:sz w:val="19"/>
              </w:rPr>
              <w:t>2025</w:t>
            </w:r>
          </w:p>
        </w:tc>
        <w:tc>
          <w:tcPr>
            <w:tcW w:type="dxa" w:w="2379"/>
          </w:tcPr>
          <w:p>
            <w:pPr>
              <w:jc w:val="center"/>
            </w:pPr>
            <w:r/>
            <w:r>
              <w:rPr>
                <w:rFonts w:ascii="Calibri" w:hAnsi="Calibri" w:eastAsia="Calibri"/>
                <w:b w:val="0"/>
                <w:i w:val="0"/>
                <w:color w:val="1F2937"/>
                <w:sz w:val="19"/>
              </w:rPr>
              <w:t>Industry 4.0 acceleration + green industrialization</w:t>
            </w:r>
          </w:p>
        </w:tc>
      </w:tr>
    </w:tbl>
    <w:p>
      <w:pPr>
        <w:spacing w:before="280" w:after="80"/>
      </w:pPr>
      <w:r>
        <w:rPr>
          <w:rFonts w:ascii="Arial" w:hAnsi="Arial" w:eastAsia="Arial"/>
          <w:b/>
          <w:i w:val="0"/>
          <w:color w:val="0B3A5C"/>
          <w:sz w:val="28"/>
        </w:rPr>
        <w:t>3. Industry-Chain Map: Upstream Components, Midstream Bodies and Integration, Downstream Applications</w:t>
      </w:r>
    </w:p>
    <w:p>
      <w:pPr>
        <w:spacing w:line="408" w:lineRule="auto" w:after="120"/>
        <w:jc w:val="both"/>
      </w:pPr>
      <w:r>
        <w:rPr>
          <w:rFonts w:ascii="Calibri" w:hAnsi="Calibri" w:eastAsia="Calibri"/>
          <w:b w:val="0"/>
          <w:i w:val="0"/>
          <w:color w:val="1F2937"/>
          <w:sz w:val="22"/>
        </w:rPr>
        <w:t>Indonesia's industrial robotics and embodied-intelligence value chain today looks like 'strong mid- and downstream applications, weak upstream core components'. This matches Southeast Asia's broader manufacturing slot: Indonesia, Thailand and Malaysia host manufacturing relocations, but servomotors, reducers, and controllers still depend heavily on imports from Japan, Korea, and China.</w:t>
      </w:r>
    </w:p>
    <w:p>
      <w:pPr>
        <w:spacing w:before="200" w:after="40"/>
      </w:pPr>
      <w:r>
        <w:rPr>
          <w:rFonts w:ascii="Arial" w:hAnsi="Arial" w:eastAsia="Arial"/>
          <w:b/>
          <w:i w:val="0"/>
          <w:color w:val="0E7C8A"/>
          <w:sz w:val="24"/>
        </w:rPr>
        <w:t>3.1 Upstream: core components (servo, reducer, controller, sensor)</w:t>
      </w:r>
    </w:p>
    <w:p>
      <w:pPr>
        <w:spacing w:line="408" w:lineRule="auto" w:after="120"/>
        <w:jc w:val="both"/>
      </w:pPr>
      <w:r>
        <w:rPr>
          <w:rFonts w:ascii="Calibri" w:hAnsi="Calibri" w:eastAsia="Calibri"/>
          <w:b w:val="0"/>
          <w:i w:val="0"/>
          <w:color w:val="1F2937"/>
          <w:sz w:val="22"/>
        </w:rPr>
        <w:t>Indonesia today produces almost no high-precision servo motors, RV reducers, or harmonic reducers. Imports come mainly from Japan (Panasonic, Yaskawa), Germany (Siemens, Bosch Rexroth), and China (Inovance, Estun, Delta). Sensor-side capacity exists in lower-end local players (photoelectric sensors, proximity switches, level gauges), but high-end vision sensors and torque sensors are still foreign-sourced. P&amp;S Intelligence's 2025 report puts sensors at 35% share of Indonesia's industrial-automation market (largest category), with robot bodies still small but the fastest-growing.</w:t>
      </w:r>
    </w:p>
    <w:p>
      <w:pPr>
        <w:spacing w:before="200" w:after="40"/>
      </w:pPr>
      <w:r>
        <w:rPr>
          <w:rFonts w:ascii="Arial" w:hAnsi="Arial" w:eastAsia="Arial"/>
          <w:b/>
          <w:i w:val="0"/>
          <w:color w:val="0E7C8A"/>
          <w:sz w:val="24"/>
        </w:rPr>
        <w:t>3.2 Midstream: bodies and system integration</w:t>
      </w:r>
    </w:p>
    <w:p>
      <w:pPr>
        <w:spacing w:line="408" w:lineRule="auto" w:after="120"/>
        <w:jc w:val="both"/>
      </w:pPr>
      <w:r>
        <w:rPr>
          <w:rFonts w:ascii="Calibri" w:hAnsi="Calibri" w:eastAsia="Calibri"/>
          <w:b w:val="0"/>
          <w:i w:val="0"/>
          <w:color w:val="1F2937"/>
          <w:sz w:val="22"/>
        </w:rPr>
        <w:t>Two layers. (1) Foreign brands—Japan's FANUC, Yaskawa, NACHI; Germany's KUKA; Switzerland's ABB; Korea's Doosan Robotics (the cobot leader). They sell through OEM direct plus system-integrator partners. (2) Local system integrators—concentrated in West Java (which alone accounts for 60% of Indonesia's manufacturing activity), plus Jakarta, Bekasi, Cikarang, Bandung, Karawang, and Surabaya. XINJJJ Industry Research Center's 2025 report describes these players as dominant in small-and-medium projects and industry-specific applications, complementing rather than competing with the foreign brands' high-end custom solutions.</w:t>
      </w:r>
    </w:p>
    <w:p>
      <w:pPr>
        <w:spacing w:after="160"/>
        <w:ind w:left="340" w:right="227"/>
      </w:pPr>
      <w:r>
        <w:rPr>
          <w:rFonts w:ascii="Calibri" w:hAnsi="Calibri" w:eastAsia="Calibri"/>
          <w:b w:val="0"/>
          <w:i/>
          <w:color w:val="1F2937"/>
          <w:sz w:val="21"/>
        </w:rPr>
        <w:t>'The barrier for local system integrators is not technology, but project-cycle length, capital intensity, and long-term shared trial-and-error with the customer. That is why small-and-medium integrators prefer food packaging and electronics assembly, not automotive welding.'—XINJJJ Industry Research Center, 2025</w:t>
      </w:r>
    </w:p>
    <w:p>
      <w:pPr>
        <w:spacing w:before="200" w:after="40"/>
      </w:pPr>
      <w:r>
        <w:rPr>
          <w:rFonts w:ascii="Arial" w:hAnsi="Arial" w:eastAsia="Arial"/>
          <w:b/>
          <w:i w:val="0"/>
          <w:color w:val="0E7C8A"/>
          <w:sz w:val="24"/>
        </w:rPr>
        <w:t>3.3 Downstream: applications across five priority sectors</w:t>
      </w:r>
    </w:p>
    <w:p>
      <w:pPr>
        <w:spacing w:line="408" w:lineRule="auto" w:after="120"/>
        <w:jc w:val="both"/>
      </w:pPr>
      <w:r>
        <w:rPr>
          <w:rFonts w:ascii="Calibri" w:hAnsi="Calibri" w:eastAsia="Calibri"/>
          <w:b w:val="0"/>
          <w:i w:val="0"/>
          <w:color w:val="1F2937"/>
          <w:sz w:val="22"/>
        </w:rPr>
        <w:t>Industrial robot deployment in Indonesia follows the country's Industry 4.0 priority sectors. P&amp;S Intelligence's 2025 data and IFR's 2024 global report together highlight five areas: (1) Automotive and components—largest user, with PT Astra Daihatsu Motor (ADM) the leading camera-guided robot user; (2) Electronics and electricals—West Java holds roughly 40% of Indonesian electronics-assembly activity; (3) Food &amp; beverage and processing—the fastest-rising robot penetration over the past two years, driven by labour shortage and minimum-wage growth (Jakarta 2024 minimum wage IDR 5,000,000 ≈ USD 320 per month); (4) Chemicals and pharmaceuticals—mature SCADA deployment in refineries, LNG plants, and pharma factories; (5) Metal processing—especially high-temperature and precision assembly around nickel downstream smelting.</w:t>
      </w:r>
    </w:p>
    <w:p>
      <w:pPr>
        <w:spacing w:before="200" w:after="40"/>
      </w:pPr>
      <w:r>
        <w:rPr>
          <w:rFonts w:ascii="Arial" w:hAnsi="Arial" w:eastAsia="Arial"/>
          <w:b/>
          <w:i w:val="0"/>
          <w:color w:val="0E7C8A"/>
          <w:sz w:val="24"/>
        </w:rPr>
        <w:t>Table 3: Indonesia's Industrial-Robotics Value-Chain Layers (2024-2025)</w:t>
      </w:r>
    </w:p>
    <w:tbl>
      <w:tblPr>
        <w:tblStyle w:val="LightGrid-Accent1"/>
        <w:tblW w:type="auto" w:w="0"/>
        <w:tblLook w:firstColumn="1" w:firstRow="1" w:lastColumn="0" w:lastRow="0" w:noHBand="0" w:noVBand="1" w:val="04A0"/>
      </w:tblPr>
      <w:tblGrid>
        <w:gridCol w:w="1904"/>
        <w:gridCol w:w="1904"/>
        <w:gridCol w:w="1904"/>
        <w:gridCol w:w="1904"/>
        <w:gridCol w:w="1904"/>
      </w:tblGrid>
      <w:tr>
        <w:tc>
          <w:tcPr>
            <w:tcW w:type="dxa" w:w="1904"/>
          </w:tcPr>
          <w:p>
            <w:pPr>
              <w:jc w:val="center"/>
            </w:pPr>
            <w:r/>
            <w:r>
              <w:rPr>
                <w:rFonts w:ascii="Arial" w:hAnsi="Arial" w:eastAsia="Arial"/>
                <w:b/>
                <w:i w:val="0"/>
                <w:color w:val="0B3A5C"/>
                <w:sz w:val="20"/>
              </w:rPr>
              <w:t>Layer</w:t>
            </w:r>
          </w:p>
        </w:tc>
        <w:tc>
          <w:tcPr>
            <w:tcW w:type="dxa" w:w="1904"/>
          </w:tcPr>
          <w:p>
            <w:pPr>
              <w:jc w:val="center"/>
            </w:pPr>
            <w:r/>
            <w:r>
              <w:rPr>
                <w:rFonts w:ascii="Arial" w:hAnsi="Arial" w:eastAsia="Arial"/>
                <w:b/>
                <w:i w:val="0"/>
                <w:color w:val="0B3A5C"/>
                <w:sz w:val="20"/>
              </w:rPr>
              <w:t>Main suppliers</w:t>
            </w:r>
          </w:p>
        </w:tc>
        <w:tc>
          <w:tcPr>
            <w:tcW w:type="dxa" w:w="1904"/>
          </w:tcPr>
          <w:p>
            <w:pPr>
              <w:jc w:val="center"/>
            </w:pPr>
            <w:r/>
            <w:r>
              <w:rPr>
                <w:rFonts w:ascii="Arial" w:hAnsi="Arial" w:eastAsia="Arial"/>
                <w:b/>
                <w:i w:val="0"/>
                <w:color w:val="0B3A5C"/>
                <w:sz w:val="20"/>
              </w:rPr>
              <w:t>Local capability</w:t>
            </w:r>
          </w:p>
        </w:tc>
        <w:tc>
          <w:tcPr>
            <w:tcW w:type="dxa" w:w="1904"/>
          </w:tcPr>
          <w:p>
            <w:pPr>
              <w:jc w:val="center"/>
            </w:pPr>
            <w:r/>
            <w:r>
              <w:rPr>
                <w:rFonts w:ascii="Arial" w:hAnsi="Arial" w:eastAsia="Arial"/>
                <w:b/>
                <w:i w:val="0"/>
                <w:color w:val="0B3A5C"/>
                <w:sz w:val="20"/>
              </w:rPr>
              <w:t>Share of automation market</w:t>
            </w:r>
          </w:p>
        </w:tc>
        <w:tc>
          <w:tcPr>
            <w:tcW w:type="dxa" w:w="1904"/>
          </w:tcPr>
          <w:p>
            <w:pPr>
              <w:jc w:val="center"/>
            </w:pPr>
            <w:r/>
            <w:r>
              <w:rPr>
                <w:rFonts w:ascii="Arial" w:hAnsi="Arial" w:eastAsia="Arial"/>
                <w:b/>
                <w:i w:val="0"/>
                <w:color w:val="0B3A5C"/>
                <w:sz w:val="20"/>
              </w:rPr>
              <w:t>Robotic incremental market</w:t>
            </w:r>
          </w:p>
        </w:tc>
      </w:tr>
      <w:tr>
        <w:tc>
          <w:tcPr>
            <w:tcW w:type="dxa" w:w="1904"/>
          </w:tcPr>
          <w:p>
            <w:pPr>
              <w:jc w:val="center"/>
            </w:pPr>
            <w:r/>
            <w:r>
              <w:rPr>
                <w:rFonts w:ascii="Calibri" w:hAnsi="Calibri" w:eastAsia="Calibri"/>
                <w:b w:val="0"/>
                <w:i w:val="0"/>
                <w:color w:val="1F2937"/>
                <w:sz w:val="19"/>
              </w:rPr>
              <w:t>Upstream core components</w:t>
            </w:r>
          </w:p>
        </w:tc>
        <w:tc>
          <w:tcPr>
            <w:tcW w:type="dxa" w:w="1904"/>
          </w:tcPr>
          <w:p>
            <w:pPr>
              <w:jc w:val="center"/>
            </w:pPr>
            <w:r/>
            <w:r>
              <w:rPr>
                <w:rFonts w:ascii="Calibri" w:hAnsi="Calibri" w:eastAsia="Calibri"/>
                <w:b w:val="0"/>
                <w:i w:val="0"/>
                <w:color w:val="1F2937"/>
                <w:sz w:val="19"/>
              </w:rPr>
              <w:t>Mainly Japan / China / Korea imports</w:t>
            </w:r>
          </w:p>
        </w:tc>
        <w:tc>
          <w:tcPr>
            <w:tcW w:type="dxa" w:w="1904"/>
          </w:tcPr>
          <w:p>
            <w:pPr>
              <w:jc w:val="center"/>
            </w:pPr>
            <w:r/>
            <w:r>
              <w:rPr>
                <w:rFonts w:ascii="Calibri" w:hAnsi="Calibri" w:eastAsia="Calibri"/>
                <w:b w:val="0"/>
                <w:i w:val="0"/>
                <w:color w:val="1F2937"/>
                <w:sz w:val="19"/>
              </w:rPr>
              <w:t>Very weak (servos / reducers / controllers almost all imported)</w:t>
            </w:r>
          </w:p>
        </w:tc>
        <w:tc>
          <w:tcPr>
            <w:tcW w:type="dxa" w:w="1904"/>
          </w:tcPr>
          <w:p>
            <w:pPr>
              <w:jc w:val="center"/>
            </w:pPr>
            <w:r/>
            <w:r>
              <w:rPr>
                <w:rFonts w:ascii="Calibri" w:hAnsi="Calibri" w:eastAsia="Calibri"/>
                <w:b w:val="0"/>
                <w:i w:val="0"/>
                <w:color w:val="1F2937"/>
                <w:sz w:val="19"/>
              </w:rPr>
              <w:t>Sensors 35% (largest)</w:t>
            </w:r>
          </w:p>
        </w:tc>
        <w:tc>
          <w:tcPr>
            <w:tcW w:type="dxa" w:w="1904"/>
          </w:tcPr>
          <w:p>
            <w:pPr>
              <w:jc w:val="center"/>
            </w:pPr>
            <w:r/>
            <w:r>
              <w:rPr>
                <w:rFonts w:ascii="Calibri" w:hAnsi="Calibri" w:eastAsia="Calibri"/>
                <w:b w:val="0"/>
                <w:i w:val="0"/>
                <w:color w:val="1F2937"/>
                <w:sz w:val="19"/>
              </w:rPr>
              <w:t>High growth (CAGR 12%)</w:t>
            </w:r>
          </w:p>
        </w:tc>
      </w:tr>
      <w:tr>
        <w:tc>
          <w:tcPr>
            <w:tcW w:type="dxa" w:w="1904"/>
          </w:tcPr>
          <w:p>
            <w:pPr>
              <w:jc w:val="center"/>
            </w:pPr>
            <w:r/>
            <w:r>
              <w:rPr>
                <w:rFonts w:ascii="Calibri" w:hAnsi="Calibri" w:eastAsia="Calibri"/>
                <w:b w:val="0"/>
                <w:i w:val="0"/>
                <w:color w:val="1F2937"/>
                <w:sz w:val="19"/>
              </w:rPr>
              <w:t>Midstream bodies + integration</w:t>
            </w:r>
          </w:p>
        </w:tc>
        <w:tc>
          <w:tcPr>
            <w:tcW w:type="dxa" w:w="1904"/>
          </w:tcPr>
          <w:p>
            <w:pPr>
              <w:jc w:val="center"/>
            </w:pPr>
            <w:r/>
            <w:r>
              <w:rPr>
                <w:rFonts w:ascii="Calibri" w:hAnsi="Calibri" w:eastAsia="Calibri"/>
                <w:b w:val="0"/>
                <w:i w:val="0"/>
                <w:color w:val="1F2937"/>
                <w:sz w:val="19"/>
              </w:rPr>
              <w:t>ABB / Yaskawa / FANUC / KUKA / Doosan + local integrators</w:t>
            </w:r>
          </w:p>
        </w:tc>
        <w:tc>
          <w:tcPr>
            <w:tcW w:type="dxa" w:w="1904"/>
          </w:tcPr>
          <w:p>
            <w:pPr>
              <w:jc w:val="center"/>
            </w:pPr>
            <w:r/>
            <w:r>
              <w:rPr>
                <w:rFonts w:ascii="Calibri" w:hAnsi="Calibri" w:eastAsia="Calibri"/>
                <w:b w:val="0"/>
                <w:i w:val="0"/>
                <w:color w:val="1F2937"/>
                <w:sz w:val="19"/>
              </w:rPr>
              <w:t>Moderate (strong on SME projects, weak on OEM)</w:t>
            </w:r>
          </w:p>
        </w:tc>
        <w:tc>
          <w:tcPr>
            <w:tcW w:type="dxa" w:w="1904"/>
          </w:tcPr>
          <w:p>
            <w:pPr>
              <w:jc w:val="center"/>
            </w:pPr>
            <w:r/>
            <w:r>
              <w:rPr>
                <w:rFonts w:ascii="Calibri" w:hAnsi="Calibri" w:eastAsia="Calibri"/>
                <w:b w:val="0"/>
                <w:i w:val="0"/>
                <w:color w:val="1F2937"/>
                <w:sz w:val="19"/>
              </w:rPr>
              <w:t>SCADA 40% (largest), PLC fastest-growing</w:t>
            </w:r>
          </w:p>
        </w:tc>
        <w:tc>
          <w:tcPr>
            <w:tcW w:type="dxa" w:w="1904"/>
          </w:tcPr>
          <w:p>
            <w:pPr>
              <w:jc w:val="center"/>
            </w:pPr>
            <w:r/>
            <w:r>
              <w:rPr>
                <w:rFonts w:ascii="Calibri" w:hAnsi="Calibri" w:eastAsia="Calibri"/>
                <w:b w:val="0"/>
                <w:i w:val="0"/>
                <w:color w:val="1F2937"/>
                <w:sz w:val="19"/>
              </w:rPr>
              <w:t>Industrial robots CAGR 14.94%</w:t>
            </w:r>
          </w:p>
        </w:tc>
      </w:tr>
      <w:tr>
        <w:tc>
          <w:tcPr>
            <w:tcW w:type="dxa" w:w="1904"/>
          </w:tcPr>
          <w:p>
            <w:pPr>
              <w:jc w:val="center"/>
            </w:pPr>
            <w:r/>
            <w:r>
              <w:rPr>
                <w:rFonts w:ascii="Calibri" w:hAnsi="Calibri" w:eastAsia="Calibri"/>
                <w:b w:val="0"/>
                <w:i w:val="0"/>
                <w:color w:val="1F2937"/>
                <w:sz w:val="19"/>
              </w:rPr>
              <w:t>Downstream applications</w:t>
            </w:r>
          </w:p>
        </w:tc>
        <w:tc>
          <w:tcPr>
            <w:tcW w:type="dxa" w:w="1904"/>
          </w:tcPr>
          <w:p>
            <w:pPr>
              <w:jc w:val="center"/>
            </w:pPr>
            <w:r/>
            <w:r>
              <w:rPr>
                <w:rFonts w:ascii="Calibri" w:hAnsi="Calibri" w:eastAsia="Calibri"/>
                <w:b w:val="0"/>
                <w:i w:val="0"/>
                <w:color w:val="1F2937"/>
                <w:sz w:val="19"/>
              </w:rPr>
              <w:t>Automotive / electronics / F&amp;B / chemicals / metal</w:t>
            </w:r>
          </w:p>
        </w:tc>
        <w:tc>
          <w:tcPr>
            <w:tcW w:type="dxa" w:w="1904"/>
          </w:tcPr>
          <w:p>
            <w:pPr>
              <w:jc w:val="center"/>
            </w:pPr>
            <w:r/>
            <w:r>
              <w:rPr>
                <w:rFonts w:ascii="Calibri" w:hAnsi="Calibri" w:eastAsia="Calibri"/>
                <w:b w:val="0"/>
                <w:i w:val="0"/>
                <w:color w:val="1F2937"/>
                <w:sz w:val="19"/>
              </w:rPr>
              <w:t>Strong (full coverage of five priority sectors)</w:t>
            </w:r>
          </w:p>
        </w:tc>
        <w:tc>
          <w:tcPr>
            <w:tcW w:type="dxa" w:w="1904"/>
          </w:tcPr>
          <w:p>
            <w:pPr>
              <w:jc w:val="center"/>
            </w:pPr>
            <w:r/>
            <w:r>
              <w:rPr>
                <w:rFonts w:ascii="Calibri" w:hAnsi="Calibri" w:eastAsia="Calibri"/>
                <w:b w:val="0"/>
                <w:i w:val="0"/>
                <w:color w:val="1F2937"/>
                <w:sz w:val="19"/>
              </w:rPr>
              <w:t>Manufacturing holds 25% of automation downstream</w:t>
            </w:r>
          </w:p>
        </w:tc>
        <w:tc>
          <w:tcPr>
            <w:tcW w:type="dxa" w:w="1904"/>
          </w:tcPr>
          <w:p>
            <w:pPr>
              <w:jc w:val="center"/>
            </w:pPr>
            <w:r/>
            <w:r>
              <w:rPr>
                <w:rFonts w:ascii="Calibri" w:hAnsi="Calibri" w:eastAsia="Calibri"/>
                <w:b w:val="0"/>
                <w:i w:val="0"/>
                <w:color w:val="1F2937"/>
                <w:sz w:val="19"/>
              </w:rPr>
              <w:t>AI-enabled robots CAGR 25.7%</w:t>
            </w:r>
          </w:p>
        </w:tc>
      </w:tr>
    </w:tbl>
    <w:p>
      <w:pPr>
        <w:spacing w:after="120"/>
      </w:pPr>
      <w:r>
        <w:rPr>
          <w:rFonts w:ascii="Calibri" w:hAnsi="Calibri" w:eastAsia="Calibri"/>
          <w:b w:val="0"/>
          <w:i w:val="0"/>
          <w:color w:val="4B5563"/>
          <w:sz w:val="18"/>
        </w:rPr>
        <w:t>Note: Upstream shares follow P&amp;S Intelligence's 2025 Indonesia market methodology; midstream SCADA and PLC figures from the same period; downstream uses IFR global data plus the Ministry of Industry's INDI 4.0 certified-firm list as cross-checks.</w:t>
      </w:r>
    </w:p>
    <w:p>
      <w:pPr>
        <w:spacing w:line="408" w:lineRule="auto" w:after="120"/>
        <w:jc w:val="both"/>
      </w:pPr>
      <w:r>
        <w:rPr>
          <w:rFonts w:ascii="Calibri" w:hAnsi="Calibri" w:eastAsia="Calibri"/>
          <w:b w:val="0"/>
          <w:i w:val="0"/>
          <w:color w:val="1F2937"/>
          <w:sz w:val="22"/>
        </w:rPr>
        <w:t>The map's key implication: Indonesian robotics value concentrates in the mid- and downstream. Design and body production remain foreign; integration, services, applications, and operations are where local capability lives. That is why local OEMs such as ADM and IAMI—who know how to operate foreign robots in high-spec settings, not how to build them—top the INDI 4.0 leaderboard.</w:t>
      </w:r>
    </w:p>
    <w:p>
      <w:pPr>
        <w:spacing w:before="280" w:after="80"/>
      </w:pPr>
      <w:r>
        <w:rPr>
          <w:rFonts w:ascii="Arial" w:hAnsi="Arial" w:eastAsia="Arial"/>
          <w:b/>
          <w:i w:val="0"/>
          <w:color w:val="0B3A5C"/>
          <w:sz w:val="28"/>
        </w:rPr>
        <w:t>4. Headline Players: Foreign OEMs, Local Integrators, and Chinese Entrants</w:t>
      </w:r>
    </w:p>
    <w:p>
      <w:pPr>
        <w:spacing w:line="408" w:lineRule="auto" w:after="120"/>
        <w:jc w:val="both"/>
      </w:pPr>
      <w:r>
        <w:rPr>
          <w:rFonts w:ascii="Calibri" w:hAnsi="Calibri" w:eastAsia="Calibri"/>
          <w:b w:val="0"/>
          <w:i w:val="0"/>
          <w:color w:val="1F2937"/>
          <w:sz w:val="22"/>
        </w:rPr>
        <w:t>Two ways to define 'headline' in the Indonesian robotics market: the foreign brands dominating by market share, and the local system integrators demonstrating high-end capability. We use five illustrative cases.</w:t>
      </w:r>
    </w:p>
    <w:p>
      <w:pPr>
        <w:spacing w:before="200" w:after="40"/>
      </w:pPr>
      <w:r>
        <w:rPr>
          <w:rFonts w:ascii="Arial" w:hAnsi="Arial" w:eastAsia="Arial"/>
          <w:b/>
          <w:i w:val="0"/>
          <w:color w:val="0E7C8A"/>
          <w:sz w:val="24"/>
        </w:rPr>
        <w:t>4.1 PT Astra Daihatsu Motor (ADM): the camera-guided benchmark</w:t>
      </w:r>
    </w:p>
    <w:p>
      <w:pPr>
        <w:spacing w:line="408" w:lineRule="auto" w:after="120"/>
        <w:jc w:val="both"/>
      </w:pPr>
      <w:r>
        <w:rPr>
          <w:rFonts w:ascii="Calibri" w:hAnsi="Calibri" w:eastAsia="Calibri"/>
          <w:b w:val="0"/>
          <w:i w:val="0"/>
          <w:color w:val="1F2937"/>
          <w:sz w:val="22"/>
        </w:rPr>
        <w:t>ADM is the Daihatsu brand-holder in Indonesia, operating jointly with Japan's Daihatsu. In 2024–2025 public cases, it has been singled out as the country's reference user for camera-guided robotics and vision-guided assembly—welding, painting, and precision components. This is the canonical 'Technology' pillar high-score case in INDI 4.0.</w:t>
      </w:r>
    </w:p>
    <w:p>
      <w:pPr>
        <w:spacing w:before="200" w:after="40"/>
      </w:pPr>
      <w:r>
        <w:rPr>
          <w:rFonts w:ascii="Arial" w:hAnsi="Arial" w:eastAsia="Arial"/>
          <w:b/>
          <w:i w:val="0"/>
          <w:color w:val="0E7C8A"/>
          <w:sz w:val="24"/>
        </w:rPr>
        <w:t>4.2 PT Isuzu Astra Motor Indonesia (IAMI): first CV-sector INDI 4.0</w:t>
      </w:r>
    </w:p>
    <w:p>
      <w:pPr>
        <w:spacing w:line="408" w:lineRule="auto" w:after="120"/>
        <w:jc w:val="both"/>
      </w:pPr>
      <w:r>
        <w:rPr>
          <w:rFonts w:ascii="Calibri" w:hAnsi="Calibri" w:eastAsia="Calibri"/>
          <w:b w:val="0"/>
          <w:i w:val="0"/>
          <w:color w:val="1F2937"/>
          <w:sz w:val="22"/>
        </w:rPr>
        <w:t>IAMI is the Isuzu brand-holder in Indonesia. In June 2024, it became the first Indonesian commercial-vehicle company to receive INDI 4.0 certification; in October 2024, it also won the 'Smart Factory' category. President Director Yusak Kristian has publicly described IAMI's 'world-class manufacturing' vision as approaching reality, making it a national lighthouse-factory exemplar.</w:t>
      </w:r>
    </w:p>
    <w:p>
      <w:pPr>
        <w:spacing w:before="200" w:after="40"/>
      </w:pPr>
      <w:r>
        <w:rPr>
          <w:rFonts w:ascii="Arial" w:hAnsi="Arial" w:eastAsia="Arial"/>
          <w:b/>
          <w:i w:val="0"/>
          <w:color w:val="0E7C8A"/>
          <w:sz w:val="24"/>
        </w:rPr>
        <w:t>4.3 Doosan Robotics: cobots entering Indonesia</w:t>
      </w:r>
    </w:p>
    <w:p>
      <w:pPr>
        <w:spacing w:line="408" w:lineRule="auto" w:after="120"/>
        <w:jc w:val="both"/>
      </w:pPr>
      <w:r>
        <w:rPr>
          <w:rFonts w:ascii="Calibri" w:hAnsi="Calibri" w:eastAsia="Calibri"/>
          <w:b w:val="0"/>
          <w:i w:val="0"/>
          <w:color w:val="1F2937"/>
          <w:sz w:val="22"/>
        </w:rPr>
        <w:t>Korea's Doosan Robotics, a global cobot leader, expanded into Indonesia from 2024, deploying cobots in precision-assembly scenarios that require flexibility and accuracy—electronics, consumer products, food packaging. Cobots are the key interface between midstream bodies and local integrators: USD 10,000–50,000 per unit, short deployment cycles, low fencing requirements, friendly to small batches and flexible production.</w:t>
      </w:r>
    </w:p>
    <w:p>
      <w:pPr>
        <w:spacing w:before="200" w:after="40"/>
      </w:pPr>
      <w:r>
        <w:rPr>
          <w:rFonts w:ascii="Arial" w:hAnsi="Arial" w:eastAsia="Arial"/>
          <w:b/>
          <w:i w:val="0"/>
          <w:color w:val="0E7C8A"/>
          <w:sz w:val="24"/>
        </w:rPr>
        <w:t>4.4 Chinese robotics makers' early presence</w:t>
      </w:r>
    </w:p>
    <w:p>
      <w:pPr>
        <w:spacing w:line="408" w:lineRule="auto" w:after="120"/>
        <w:jc w:val="both"/>
      </w:pPr>
      <w:r>
        <w:rPr>
          <w:rFonts w:ascii="Calibri" w:hAnsi="Calibri" w:eastAsia="Calibri"/>
          <w:b w:val="0"/>
          <w:i w:val="0"/>
          <w:color w:val="1F2937"/>
          <w:sz w:val="22"/>
        </w:rPr>
        <w:t>China's embodied-intelligence and robotics export push is in its early scale-up phase. Indonesia is the third-largest destination in Southeast Asia, after Vietnam and Thailand. Concrete observations: (1) Service robots (catering, cleaning, inspection) are deployed in Jakarta and Bali hotels and malls, with channel partners for Pudu, Keenon, and Unitree brands; (2) On the industrial side, Inovance, Estun, and Delta enter via components and small PLCs; (3) Humanoid robots are mainly educational and demonstrative, with early cooperation between UBTECH and Indonesian universities. The New Economy Herald (2025) notes that 'Southeast Asia is the fastest-growing region, led by Vietnam, with Thailand, Indonesia and Malaysia close behind'—the regional context behind Indonesia's medium-sized but high-growth robotics market.</w:t>
      </w:r>
    </w:p>
    <w:p>
      <w:pPr>
        <w:spacing w:before="200" w:after="40"/>
      </w:pPr>
      <w:r>
        <w:rPr>
          <w:rFonts w:ascii="Arial" w:hAnsi="Arial" w:eastAsia="Arial"/>
          <w:b/>
          <w:i w:val="0"/>
          <w:color w:val="0E7C8A"/>
          <w:sz w:val="24"/>
        </w:rPr>
        <w:t>4.5 Local vantage point: Morowali and Batang as Industry 4.0 archetypes</w:t>
      </w:r>
    </w:p>
    <w:p>
      <w:pPr>
        <w:spacing w:line="408" w:lineRule="auto" w:after="120"/>
        <w:jc w:val="both"/>
      </w:pPr>
      <w:r>
        <w:rPr>
          <w:rFonts w:ascii="Calibri" w:hAnsi="Calibri" w:eastAsia="Calibri"/>
          <w:b w:val="0"/>
          <w:i w:val="0"/>
          <w:color w:val="1F2937"/>
          <w:sz w:val="22"/>
        </w:rPr>
        <w:t>Two industrial estates anchor the 'local vantage point' view of Indonesian advanced manufacturing. (These two overlap with our earlier 'Indonesia nickel → battery' article, but with a different lens—robotics and human-machine collaboration, not nickel itself.)</w:t>
      </w:r>
    </w:p>
    <w:p>
      <w:pPr>
        <w:spacing w:line="408" w:lineRule="auto" w:after="120"/>
        <w:jc w:val="both"/>
      </w:pPr>
      <w:r>
        <w:rPr>
          <w:rFonts w:ascii="Calibri" w:hAnsi="Calibri" w:eastAsia="Calibri"/>
          <w:b w:val="0"/>
          <w:i w:val="0"/>
          <w:color w:val="1F2937"/>
          <w:sz w:val="22"/>
        </w:rPr>
        <w:t>(1) Morowali Industrial Estate (Central Sulawesi). A joint venture of China's Tsingshan Group and Indonesia's Bintang Delapan, it is the core downstream nickel + stainless-steel + battery-precursor cluster. Its advanced-manufacturing capability is concentrated in the synchronized automation of four process blocks: RKEF (rotary-kiln electric furnace), HPAL (high-pressure acid leaching), automated packaging, and port logistics. Minister of Industry Agus Gumiwang Kartasasmita cited Morowali directly in his 2025 Hiroshima lecture as a 'globally competitive industrial centre'.</w:t>
      </w:r>
    </w:p>
    <w:p>
      <w:pPr>
        <w:spacing w:line="408" w:lineRule="auto" w:after="120"/>
        <w:jc w:val="both"/>
      </w:pPr>
      <w:r>
        <w:rPr>
          <w:rFonts w:ascii="Calibri" w:hAnsi="Calibri" w:eastAsia="Calibri"/>
          <w:b w:val="0"/>
          <w:i w:val="0"/>
          <w:color w:val="1F2937"/>
          <w:sz w:val="22"/>
        </w:rPr>
        <w:t>(2) Batang Industrial Estate (Central Java). Run by the Ministry of Industry as an 'ecological modernization' pilot, it mandates wastewater reuse, energy efficiency improvements, and industrial symbiosis. Robots deployed here are predominantly low-energy cobots serving consumer-goods manufacturing (textiles, food &amp; beverage), targeting 'low energy, low emission, high unit value'—a different high-end-manufacturing archetype than Morowali's heavy-industry automation.</w:t>
      </w:r>
    </w:p>
    <w:p>
      <w:pPr>
        <w:spacing w:before="200" w:after="40"/>
      </w:pPr>
      <w:r>
        <w:rPr>
          <w:rFonts w:ascii="Arial" w:hAnsi="Arial" w:eastAsia="Arial"/>
          <w:b/>
          <w:i w:val="0"/>
          <w:color w:val="0E7C8A"/>
          <w:sz w:val="24"/>
        </w:rPr>
        <w:t>Table 4: Indonesia's Robotics and Embodied Intelligence Headline Player Map (2025)</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Arial" w:hAnsi="Arial" w:eastAsia="Arial"/>
                <w:b/>
                <w:i w:val="0"/>
                <w:color w:val="0B3A5C"/>
                <w:sz w:val="20"/>
              </w:rPr>
              <w:t>Player</w:t>
            </w:r>
          </w:p>
        </w:tc>
        <w:tc>
          <w:tcPr>
            <w:tcW w:type="dxa" w:w="2379"/>
          </w:tcPr>
          <w:p>
            <w:pPr>
              <w:jc w:val="center"/>
            </w:pPr>
            <w:r/>
            <w:r>
              <w:rPr>
                <w:rFonts w:ascii="Arial" w:hAnsi="Arial" w:eastAsia="Arial"/>
                <w:b/>
                <w:i w:val="0"/>
                <w:color w:val="0B3A5C"/>
                <w:sz w:val="20"/>
              </w:rPr>
              <w:t>Category</w:t>
            </w:r>
          </w:p>
        </w:tc>
        <w:tc>
          <w:tcPr>
            <w:tcW w:type="dxa" w:w="2379"/>
          </w:tcPr>
          <w:p>
            <w:pPr>
              <w:jc w:val="center"/>
            </w:pPr>
            <w:r/>
            <w:r>
              <w:rPr>
                <w:rFonts w:ascii="Arial" w:hAnsi="Arial" w:eastAsia="Arial"/>
                <w:b/>
                <w:i w:val="0"/>
                <w:color w:val="0B3A5C"/>
                <w:sz w:val="20"/>
              </w:rPr>
              <w:t>Market / deployment</w:t>
            </w:r>
          </w:p>
        </w:tc>
        <w:tc>
          <w:tcPr>
            <w:tcW w:type="dxa" w:w="2379"/>
          </w:tcPr>
          <w:p>
            <w:pPr>
              <w:jc w:val="center"/>
            </w:pPr>
            <w:r/>
            <w:r>
              <w:rPr>
                <w:rFonts w:ascii="Arial" w:hAnsi="Arial" w:eastAsia="Arial"/>
                <w:b/>
                <w:i w:val="0"/>
                <w:color w:val="0B3A5C"/>
                <w:sz w:val="20"/>
              </w:rPr>
              <w:t>Local-vantage value</w:t>
            </w:r>
          </w:p>
        </w:tc>
      </w:tr>
      <w:tr>
        <w:tc>
          <w:tcPr>
            <w:tcW w:type="dxa" w:w="2379"/>
          </w:tcPr>
          <w:p>
            <w:pPr>
              <w:jc w:val="center"/>
            </w:pPr>
            <w:r/>
            <w:r>
              <w:rPr>
                <w:rFonts w:ascii="Calibri" w:hAnsi="Calibri" w:eastAsia="Calibri"/>
                <w:b w:val="0"/>
                <w:i w:val="0"/>
                <w:color w:val="1F2937"/>
                <w:sz w:val="19"/>
              </w:rPr>
              <w:t>PT Astra Daihatsu Motor</w:t>
            </w:r>
          </w:p>
        </w:tc>
        <w:tc>
          <w:tcPr>
            <w:tcW w:type="dxa" w:w="2379"/>
          </w:tcPr>
          <w:p>
            <w:pPr>
              <w:jc w:val="center"/>
            </w:pPr>
            <w:r/>
            <w:r>
              <w:rPr>
                <w:rFonts w:ascii="Calibri" w:hAnsi="Calibri" w:eastAsia="Calibri"/>
                <w:b w:val="0"/>
                <w:i w:val="0"/>
                <w:color w:val="1F2937"/>
                <w:sz w:val="19"/>
              </w:rPr>
              <w:t>Local OEM (vision-guided assembly)</w:t>
            </w:r>
          </w:p>
        </w:tc>
        <w:tc>
          <w:tcPr>
            <w:tcW w:type="dxa" w:w="2379"/>
          </w:tcPr>
          <w:p>
            <w:pPr>
              <w:jc w:val="center"/>
            </w:pPr>
            <w:r/>
            <w:r>
              <w:rPr>
                <w:rFonts w:ascii="Calibri" w:hAnsi="Calibri" w:eastAsia="Calibri"/>
                <w:b w:val="0"/>
                <w:i w:val="0"/>
                <w:color w:val="1F2937"/>
                <w:sz w:val="19"/>
              </w:rPr>
              <w:t>National (West Java-led)</w:t>
            </w:r>
          </w:p>
        </w:tc>
        <w:tc>
          <w:tcPr>
            <w:tcW w:type="dxa" w:w="2379"/>
          </w:tcPr>
          <w:p>
            <w:pPr>
              <w:jc w:val="center"/>
            </w:pPr>
            <w:r/>
            <w:r>
              <w:rPr>
                <w:rFonts w:ascii="Calibri" w:hAnsi="Calibri" w:eastAsia="Calibri"/>
                <w:b w:val="0"/>
                <w:i w:val="0"/>
                <w:color w:val="1F2937"/>
                <w:sz w:val="19"/>
              </w:rPr>
              <w:t>INDI 4.0 'Technology' high-score case</w:t>
            </w:r>
          </w:p>
        </w:tc>
      </w:tr>
      <w:tr>
        <w:tc>
          <w:tcPr>
            <w:tcW w:type="dxa" w:w="2379"/>
          </w:tcPr>
          <w:p>
            <w:pPr>
              <w:jc w:val="center"/>
            </w:pPr>
            <w:r/>
            <w:r>
              <w:rPr>
                <w:rFonts w:ascii="Calibri" w:hAnsi="Calibri" w:eastAsia="Calibri"/>
                <w:b w:val="0"/>
                <w:i w:val="0"/>
                <w:color w:val="1F2937"/>
                <w:sz w:val="19"/>
              </w:rPr>
              <w:t>PT Isuzu Astra Motor Indonesia (IAMI)</w:t>
            </w:r>
          </w:p>
        </w:tc>
        <w:tc>
          <w:tcPr>
            <w:tcW w:type="dxa" w:w="2379"/>
          </w:tcPr>
          <w:p>
            <w:pPr>
              <w:jc w:val="center"/>
            </w:pPr>
            <w:r/>
            <w:r>
              <w:rPr>
                <w:rFonts w:ascii="Calibri" w:hAnsi="Calibri" w:eastAsia="Calibri"/>
                <w:b w:val="0"/>
                <w:i w:val="0"/>
                <w:color w:val="1F2937"/>
                <w:sz w:val="19"/>
              </w:rPr>
              <w:t>Local OEM (digitalized assembly)</w:t>
            </w:r>
          </w:p>
        </w:tc>
        <w:tc>
          <w:tcPr>
            <w:tcW w:type="dxa" w:w="2379"/>
          </w:tcPr>
          <w:p>
            <w:pPr>
              <w:jc w:val="center"/>
            </w:pPr>
            <w:r/>
            <w:r>
              <w:rPr>
                <w:rFonts w:ascii="Calibri" w:hAnsi="Calibri" w:eastAsia="Calibri"/>
                <w:b w:val="0"/>
                <w:i w:val="0"/>
                <w:color w:val="1F2937"/>
                <w:sz w:val="19"/>
              </w:rPr>
              <w:t>National</w:t>
            </w:r>
          </w:p>
        </w:tc>
        <w:tc>
          <w:tcPr>
            <w:tcW w:type="dxa" w:w="2379"/>
          </w:tcPr>
          <w:p>
            <w:pPr>
              <w:jc w:val="center"/>
            </w:pPr>
            <w:r/>
            <w:r>
              <w:rPr>
                <w:rFonts w:ascii="Calibri" w:hAnsi="Calibri" w:eastAsia="Calibri"/>
                <w:b w:val="0"/>
                <w:i w:val="0"/>
                <w:color w:val="1F2937"/>
                <w:sz w:val="19"/>
              </w:rPr>
              <w:t>First CV-sector INDI 4.0 + Smart Factory award</w:t>
            </w:r>
          </w:p>
        </w:tc>
      </w:tr>
      <w:tr>
        <w:tc>
          <w:tcPr>
            <w:tcW w:type="dxa" w:w="2379"/>
          </w:tcPr>
          <w:p>
            <w:pPr>
              <w:jc w:val="center"/>
            </w:pPr>
            <w:r/>
            <w:r>
              <w:rPr>
                <w:rFonts w:ascii="Calibri" w:hAnsi="Calibri" w:eastAsia="Calibri"/>
                <w:b w:val="0"/>
                <w:i w:val="0"/>
                <w:color w:val="1F2937"/>
                <w:sz w:val="19"/>
              </w:rPr>
              <w:t>Doosan Robotics (Korea)</w:t>
            </w:r>
          </w:p>
        </w:tc>
        <w:tc>
          <w:tcPr>
            <w:tcW w:type="dxa" w:w="2379"/>
          </w:tcPr>
          <w:p>
            <w:pPr>
              <w:jc w:val="center"/>
            </w:pPr>
            <w:r/>
            <w:r>
              <w:rPr>
                <w:rFonts w:ascii="Calibri" w:hAnsi="Calibri" w:eastAsia="Calibri"/>
                <w:b w:val="0"/>
                <w:i w:val="0"/>
                <w:color w:val="1F2937"/>
                <w:sz w:val="19"/>
              </w:rPr>
              <w:t>Foreign body (cobots)</w:t>
            </w:r>
          </w:p>
        </w:tc>
        <w:tc>
          <w:tcPr>
            <w:tcW w:type="dxa" w:w="2379"/>
          </w:tcPr>
          <w:p>
            <w:pPr>
              <w:jc w:val="center"/>
            </w:pPr>
            <w:r/>
            <w:r>
              <w:rPr>
                <w:rFonts w:ascii="Calibri" w:hAnsi="Calibri" w:eastAsia="Calibri"/>
                <w:b w:val="0"/>
                <w:i w:val="0"/>
                <w:color w:val="1F2937"/>
                <w:sz w:val="19"/>
              </w:rPr>
              <w:t>Expanding in Indonesia</w:t>
            </w:r>
          </w:p>
        </w:tc>
        <w:tc>
          <w:tcPr>
            <w:tcW w:type="dxa" w:w="2379"/>
          </w:tcPr>
          <w:p>
            <w:pPr>
              <w:jc w:val="center"/>
            </w:pPr>
            <w:r/>
            <w:r>
              <w:rPr>
                <w:rFonts w:ascii="Calibri" w:hAnsi="Calibri" w:eastAsia="Calibri"/>
                <w:b w:val="0"/>
                <w:i w:val="0"/>
                <w:color w:val="1F2937"/>
                <w:sz w:val="19"/>
              </w:rPr>
              <w:t>Key interface between midstream bodies and local integrators</w:t>
            </w:r>
          </w:p>
        </w:tc>
      </w:tr>
      <w:tr>
        <w:tc>
          <w:tcPr>
            <w:tcW w:type="dxa" w:w="2379"/>
          </w:tcPr>
          <w:p>
            <w:pPr>
              <w:jc w:val="center"/>
            </w:pPr>
            <w:r/>
            <w:r>
              <w:rPr>
                <w:rFonts w:ascii="Calibri" w:hAnsi="Calibri" w:eastAsia="Calibri"/>
                <w:b w:val="0"/>
                <w:i w:val="0"/>
                <w:color w:val="1F2937"/>
                <w:sz w:val="19"/>
              </w:rPr>
              <w:t>ABB / Yaskawa / FANUC / KUKA</w:t>
            </w:r>
          </w:p>
        </w:tc>
        <w:tc>
          <w:tcPr>
            <w:tcW w:type="dxa" w:w="2379"/>
          </w:tcPr>
          <w:p>
            <w:pPr>
              <w:jc w:val="center"/>
            </w:pPr>
            <w:r/>
            <w:r>
              <w:rPr>
                <w:rFonts w:ascii="Calibri" w:hAnsi="Calibri" w:eastAsia="Calibri"/>
                <w:b w:val="0"/>
                <w:i w:val="0"/>
                <w:color w:val="1F2937"/>
                <w:sz w:val="19"/>
              </w:rPr>
              <w:t>Foreign bodies (Big Four)</w:t>
            </w:r>
          </w:p>
        </w:tc>
        <w:tc>
          <w:tcPr>
            <w:tcW w:type="dxa" w:w="2379"/>
          </w:tcPr>
          <w:p>
            <w:pPr>
              <w:jc w:val="center"/>
            </w:pPr>
            <w:r/>
            <w:r>
              <w:rPr>
                <w:rFonts w:ascii="Calibri" w:hAnsi="Calibri" w:eastAsia="Calibri"/>
                <w:b w:val="0"/>
                <w:i w:val="0"/>
                <w:color w:val="1F2937"/>
                <w:sz w:val="19"/>
              </w:rPr>
              <w:t>National (OEM direct)</w:t>
            </w:r>
          </w:p>
        </w:tc>
        <w:tc>
          <w:tcPr>
            <w:tcW w:type="dxa" w:w="2379"/>
          </w:tcPr>
          <w:p>
            <w:pPr>
              <w:jc w:val="center"/>
            </w:pPr>
            <w:r/>
            <w:r>
              <w:rPr>
                <w:rFonts w:ascii="Calibri" w:hAnsi="Calibri" w:eastAsia="Calibri"/>
                <w:b w:val="0"/>
                <w:i w:val="0"/>
                <w:color w:val="1F2937"/>
                <w:sz w:val="19"/>
              </w:rPr>
              <w:t>Mainstream high-end bodies and systems integration</w:t>
            </w:r>
          </w:p>
        </w:tc>
      </w:tr>
      <w:tr>
        <w:tc>
          <w:tcPr>
            <w:tcW w:type="dxa" w:w="2379"/>
          </w:tcPr>
          <w:p>
            <w:pPr>
              <w:jc w:val="center"/>
            </w:pPr>
            <w:r/>
            <w:r>
              <w:rPr>
                <w:rFonts w:ascii="Calibri" w:hAnsi="Calibri" w:eastAsia="Calibri"/>
                <w:b w:val="0"/>
                <w:i w:val="0"/>
                <w:color w:val="1F2937"/>
                <w:sz w:val="19"/>
              </w:rPr>
              <w:t>Chinese robot makers (Pudu / Inovance / Estun / Keenon)</w:t>
            </w:r>
          </w:p>
        </w:tc>
        <w:tc>
          <w:tcPr>
            <w:tcW w:type="dxa" w:w="2379"/>
          </w:tcPr>
          <w:p>
            <w:pPr>
              <w:jc w:val="center"/>
            </w:pPr>
            <w:r/>
            <w:r>
              <w:rPr>
                <w:rFonts w:ascii="Calibri" w:hAnsi="Calibri" w:eastAsia="Calibri"/>
                <w:b w:val="0"/>
                <w:i w:val="0"/>
                <w:color w:val="1F2937"/>
                <w:sz w:val="19"/>
              </w:rPr>
              <w:t>Domestic bodies + components</w:t>
            </w:r>
          </w:p>
        </w:tc>
        <w:tc>
          <w:tcPr>
            <w:tcW w:type="dxa" w:w="2379"/>
          </w:tcPr>
          <w:p>
            <w:pPr>
              <w:jc w:val="center"/>
            </w:pPr>
            <w:r/>
            <w:r>
              <w:rPr>
                <w:rFonts w:ascii="Calibri" w:hAnsi="Calibri" w:eastAsia="Calibri"/>
                <w:b w:val="0"/>
                <w:i w:val="0"/>
                <w:color w:val="1F2937"/>
                <w:sz w:val="19"/>
              </w:rPr>
              <w:t>Service robots and components entering Indonesia</w:t>
            </w:r>
          </w:p>
        </w:tc>
        <w:tc>
          <w:tcPr>
            <w:tcW w:type="dxa" w:w="2379"/>
          </w:tcPr>
          <w:p>
            <w:pPr>
              <w:jc w:val="center"/>
            </w:pPr>
            <w:r/>
            <w:r>
              <w:rPr>
                <w:rFonts w:ascii="Calibri" w:hAnsi="Calibri" w:eastAsia="Calibri"/>
                <w:b w:val="0"/>
                <w:i w:val="0"/>
                <w:color w:val="1F2937"/>
                <w:sz w:val="19"/>
              </w:rPr>
              <w:t>Cost-performance and localization service advantages</w:t>
            </w:r>
          </w:p>
        </w:tc>
      </w:tr>
      <w:tr>
        <w:tc>
          <w:tcPr>
            <w:tcW w:type="dxa" w:w="2379"/>
          </w:tcPr>
          <w:p>
            <w:pPr>
              <w:jc w:val="center"/>
            </w:pPr>
            <w:r/>
            <w:r>
              <w:rPr>
                <w:rFonts w:ascii="Calibri" w:hAnsi="Calibri" w:eastAsia="Calibri"/>
                <w:b w:val="0"/>
                <w:i w:val="0"/>
                <w:color w:val="1F2937"/>
                <w:sz w:val="19"/>
              </w:rPr>
              <w:t>Local system integrators (SMEs)</w:t>
            </w:r>
          </w:p>
        </w:tc>
        <w:tc>
          <w:tcPr>
            <w:tcW w:type="dxa" w:w="2379"/>
          </w:tcPr>
          <w:p>
            <w:pPr>
              <w:jc w:val="center"/>
            </w:pPr>
            <w:r/>
            <w:r>
              <w:rPr>
                <w:rFonts w:ascii="Calibri" w:hAnsi="Calibri" w:eastAsia="Calibri"/>
                <w:b w:val="0"/>
                <w:i w:val="0"/>
                <w:color w:val="1F2937"/>
                <w:sz w:val="19"/>
              </w:rPr>
              <w:t>Local integration</w:t>
            </w:r>
          </w:p>
        </w:tc>
        <w:tc>
          <w:tcPr>
            <w:tcW w:type="dxa" w:w="2379"/>
          </w:tcPr>
          <w:p>
            <w:pPr>
              <w:jc w:val="center"/>
            </w:pPr>
            <w:r/>
            <w:r>
              <w:rPr>
                <w:rFonts w:ascii="Calibri" w:hAnsi="Calibri" w:eastAsia="Calibri"/>
                <w:b w:val="0"/>
                <w:i w:val="0"/>
                <w:color w:val="1F2937"/>
                <w:sz w:val="19"/>
              </w:rPr>
              <w:t>Food packaging / electronics assembly / welding</w:t>
            </w:r>
          </w:p>
        </w:tc>
        <w:tc>
          <w:tcPr>
            <w:tcW w:type="dxa" w:w="2379"/>
          </w:tcPr>
          <w:p>
            <w:pPr>
              <w:jc w:val="center"/>
            </w:pPr>
            <w:r/>
            <w:r>
              <w:rPr>
                <w:rFonts w:ascii="Calibri" w:hAnsi="Calibri" w:eastAsia="Calibri"/>
                <w:b w:val="0"/>
                <w:i w:val="0"/>
                <w:color w:val="1F2937"/>
                <w:sz w:val="19"/>
              </w:rPr>
              <w:t>Regional depth and shared trial-and-error with customers</w:t>
            </w:r>
          </w:p>
        </w:tc>
      </w:tr>
      <w:tr>
        <w:tc>
          <w:tcPr>
            <w:tcW w:type="dxa" w:w="2379"/>
          </w:tcPr>
          <w:p>
            <w:pPr>
              <w:jc w:val="center"/>
            </w:pPr>
            <w:r/>
            <w:r>
              <w:rPr>
                <w:rFonts w:ascii="Calibri" w:hAnsi="Calibri" w:eastAsia="Calibri"/>
                <w:b w:val="0"/>
                <w:i w:val="0"/>
                <w:color w:val="1F2937"/>
                <w:sz w:val="19"/>
              </w:rPr>
              <w:t>PIDI 4.0 + INDI 4.0 committees</w:t>
            </w:r>
          </w:p>
        </w:tc>
        <w:tc>
          <w:tcPr>
            <w:tcW w:type="dxa" w:w="2379"/>
          </w:tcPr>
          <w:p>
            <w:pPr>
              <w:jc w:val="center"/>
            </w:pPr>
            <w:r/>
            <w:r>
              <w:rPr>
                <w:rFonts w:ascii="Calibri" w:hAnsi="Calibri" w:eastAsia="Calibri"/>
                <w:b w:val="0"/>
                <w:i w:val="0"/>
                <w:color w:val="1F2937"/>
                <w:sz w:val="19"/>
              </w:rPr>
              <w:t>Government bodies (assessment + one-stop service)</w:t>
            </w:r>
          </w:p>
        </w:tc>
        <w:tc>
          <w:tcPr>
            <w:tcW w:type="dxa" w:w="2379"/>
          </w:tcPr>
          <w:p>
            <w:pPr>
              <w:jc w:val="center"/>
            </w:pPr>
            <w:r/>
            <w:r>
              <w:rPr>
                <w:rFonts w:ascii="Calibri" w:hAnsi="Calibri" w:eastAsia="Calibri"/>
                <w:b w:val="0"/>
                <w:i w:val="0"/>
                <w:color w:val="1F2937"/>
                <w:sz w:val="19"/>
              </w:rPr>
              <w:t>National</w:t>
            </w:r>
          </w:p>
        </w:tc>
        <w:tc>
          <w:tcPr>
            <w:tcW w:type="dxa" w:w="2379"/>
          </w:tcPr>
          <w:p>
            <w:pPr>
              <w:jc w:val="center"/>
            </w:pPr>
            <w:r/>
            <w:r>
              <w:rPr>
                <w:rFonts w:ascii="Calibri" w:hAnsi="Calibri" w:eastAsia="Calibri"/>
                <w:b w:val="0"/>
                <w:i w:val="0"/>
                <w:color w:val="1F2937"/>
                <w:sz w:val="19"/>
              </w:rPr>
              <w:t>Policy traction and talent training</w:t>
            </w:r>
          </w:p>
        </w:tc>
      </w:tr>
    </w:tbl>
    <w:p>
      <w:pPr>
        <w:spacing w:before="280" w:after="80"/>
      </w:pPr>
      <w:r>
        <w:rPr>
          <w:rFonts w:ascii="Arial" w:hAnsi="Arial" w:eastAsia="Arial"/>
          <w:b/>
          <w:i w:val="0"/>
          <w:color w:val="0B3A5C"/>
          <w:sz w:val="28"/>
        </w:rPr>
        <w:t>5. Embodied Intelligence and Humanoid Robots: An Early-Stage Indonesian View</w:t>
      </w:r>
    </w:p>
    <w:p>
      <w:pPr>
        <w:spacing w:before="200" w:after="40"/>
      </w:pPr>
      <w:r>
        <w:rPr>
          <w:rFonts w:ascii="Arial" w:hAnsi="Arial" w:eastAsia="Arial"/>
          <w:b/>
          <w:i w:val="0"/>
          <w:color w:val="0E7C8A"/>
          <w:sz w:val="24"/>
        </w:rPr>
        <w:t>5.1 Market size: small but fast</w:t>
      </w:r>
    </w:p>
    <w:p>
      <w:pPr>
        <w:spacing w:line="408" w:lineRule="auto" w:after="120"/>
        <w:jc w:val="both"/>
      </w:pPr>
      <w:r>
        <w:rPr>
          <w:rFonts w:ascii="Calibri" w:hAnsi="Calibri" w:eastAsia="Calibri"/>
          <w:b w:val="0"/>
          <w:i w:val="0"/>
          <w:color w:val="1F2937"/>
          <w:sz w:val="22"/>
        </w:rPr>
        <w:t>Indonesia's humanoid-robot market was around USD 10.07 million in 2023, projected at USD 15.12 million in 2024 and USD 200 million by 2035 (CAGR 26.5%). The high growth reflects the very low base. Education and public services (medical assistance, disaster response, leisure) are the early landing scenarios.</w:t>
      </w:r>
    </w:p>
    <w:p>
      <w:pPr>
        <w:spacing w:before="200" w:after="40"/>
      </w:pPr>
      <w:r>
        <w:rPr>
          <w:rFonts w:ascii="Arial" w:hAnsi="Arial" w:eastAsia="Arial"/>
          <w:b/>
          <w:i w:val="0"/>
          <w:color w:val="0E7C8A"/>
          <w:sz w:val="24"/>
        </w:rPr>
        <w:t>5.2 Education and services: the Indonesian K-12 STEM lens</w:t>
      </w:r>
    </w:p>
    <w:p>
      <w:pPr>
        <w:spacing w:line="408" w:lineRule="auto" w:after="120"/>
        <w:jc w:val="both"/>
      </w:pPr>
      <w:r>
        <w:rPr>
          <w:rFonts w:ascii="Calibri" w:hAnsi="Calibri" w:eastAsia="Calibri"/>
          <w:b w:val="0"/>
          <w:i w:val="0"/>
          <w:color w:val="1F2937"/>
          <w:sz w:val="22"/>
        </w:rPr>
        <w:t>The global education-humanoid-robot market reached USD 4.27 billion in 2025, with Asia-Pacific accounting for 48.2%. A 'rental—maintenance—content-update' integrated model covers 32% of procurement projects in Southeast Asia. Although Indonesia does not disclose its share, Jakarta, Bandung, and Surabaya's premium international and private schools are the early procurement cohort, primarily buying UBTECH, SoftBank Robotics, and Embodied products.</w:t>
      </w:r>
    </w:p>
    <w:p>
      <w:pPr>
        <w:spacing w:before="200" w:after="40"/>
      </w:pPr>
      <w:r>
        <w:rPr>
          <w:rFonts w:ascii="Arial" w:hAnsi="Arial" w:eastAsia="Arial"/>
          <w:b/>
          <w:i w:val="0"/>
          <w:color w:val="0E7C8A"/>
          <w:sz w:val="24"/>
        </w:rPr>
        <w:t>5.3 Public sector and Indonesia's 'Smart Cities'</w:t>
      </w:r>
    </w:p>
    <w:p>
      <w:pPr>
        <w:spacing w:line="408" w:lineRule="auto" w:after="120"/>
        <w:jc w:val="both"/>
      </w:pPr>
      <w:r>
        <w:rPr>
          <w:rFonts w:ascii="Calibri" w:hAnsi="Calibri" w:eastAsia="Calibri"/>
          <w:b w:val="0"/>
          <w:i w:val="0"/>
          <w:color w:val="1F2937"/>
          <w:sz w:val="22"/>
        </w:rPr>
        <w:t>Indonesia's 100 Smart Cities Movement, led by the Ministry of Communication and Information Technology, integrates IoT, AI, cloud, big data, and robotics into urban infrastructure. Jakarta, Bandung, Surabaya, and Bali have deployed smart transportation, smart grids, and smart meters; service robots as 'smart terminals' are appearing in government reception areas and public spaces, though penetration is still low.</w:t>
      </w:r>
    </w:p>
    <w:p>
      <w:pPr>
        <w:spacing w:before="200" w:after="40"/>
      </w:pPr>
      <w:r>
        <w:rPr>
          <w:rFonts w:ascii="Arial" w:hAnsi="Arial" w:eastAsia="Arial"/>
          <w:b/>
          <w:i w:val="0"/>
          <w:color w:val="0E7C8A"/>
          <w:sz w:val="24"/>
        </w:rPr>
        <w:t>5.4 Industrial-grade embodied intelligence: 'robot replacing human' in nickel smelting and battery cells</w:t>
      </w:r>
    </w:p>
    <w:p>
      <w:pPr>
        <w:spacing w:line="408" w:lineRule="auto" w:after="120"/>
        <w:jc w:val="both"/>
      </w:pPr>
      <w:r>
        <w:rPr>
          <w:rFonts w:ascii="Calibri" w:hAnsi="Calibri" w:eastAsia="Calibri"/>
          <w:b w:val="0"/>
          <w:i w:val="0"/>
          <w:color w:val="1F2937"/>
          <w:sz w:val="22"/>
        </w:rPr>
        <w:t>Morowali's nickel smelting lines already deploy AGVs and autonomous inspection robots. HLI Green Power's 10 GWh battery plant and CATL's 'Dragon Project' (long-term 15 GWh) cell-assembly lines both plan vision-plus-AI precision assembly. The defining feature: 'embodied intelligence hides behind the robot body'—not humanoids, but vision fusion, adaptive control, and human-robot collaboration in advanced-manufacturing settings.</w:t>
      </w:r>
    </w:p>
    <w:p>
      <w:pPr>
        <w:spacing w:before="280" w:after="80"/>
      </w:pPr>
      <w:r>
        <w:rPr>
          <w:rFonts w:ascii="Arial" w:hAnsi="Arial" w:eastAsia="Arial"/>
          <w:b/>
          <w:i w:val="0"/>
          <w:color w:val="0B3A5C"/>
          <w:sz w:val="28"/>
        </w:rPr>
        <w:t>6. ASEAN Comparison: Where Indonesia Sits in the Regional Robotics Map</w:t>
      </w:r>
    </w:p>
    <w:p>
      <w:pPr>
        <w:spacing w:line="408" w:lineRule="auto" w:after="120"/>
        <w:jc w:val="both"/>
      </w:pPr>
      <w:r>
        <w:rPr>
          <w:rFonts w:ascii="Calibri" w:hAnsi="Calibri" w:eastAsia="Calibri"/>
          <w:b w:val="0"/>
          <w:i w:val="0"/>
          <w:color w:val="1F2937"/>
          <w:sz w:val="22"/>
        </w:rPr>
        <w:t>Indonesia's domestic market alone doesn't tell us its high-end-manufacturing position. Neighbours with similar manufacturing-transfer profiles are the Philippines, Thailand, and Vietnam; the global scale-setter is China.</w:t>
      </w:r>
    </w:p>
    <w:p>
      <w:pPr>
        <w:spacing w:before="200" w:after="40"/>
      </w:pPr>
      <w:r>
        <w:rPr>
          <w:rFonts w:ascii="Arial" w:hAnsi="Arial" w:eastAsia="Arial"/>
          <w:b/>
          <w:i w:val="0"/>
          <w:color w:val="0E7C8A"/>
          <w:sz w:val="24"/>
        </w:rPr>
        <w:t>Table 5: Indonesia vs. ASEAN and Global Comparison (2024-2025)</w:t>
      </w:r>
    </w:p>
    <w:tbl>
      <w:tblPr>
        <w:tblStyle w:val="LightGrid-Accent1"/>
        <w:tblW w:type="auto" w:w="0"/>
        <w:tblLook w:firstColumn="1" w:firstRow="1" w:lastColumn="0" w:lastRow="0" w:noHBand="0" w:noVBand="1" w:val="04A0"/>
      </w:tblPr>
      <w:tblGrid>
        <w:gridCol w:w="1904"/>
        <w:gridCol w:w="1904"/>
        <w:gridCol w:w="1904"/>
        <w:gridCol w:w="1904"/>
        <w:gridCol w:w="1904"/>
      </w:tblGrid>
      <w:tr>
        <w:tc>
          <w:tcPr>
            <w:tcW w:type="dxa" w:w="1904"/>
          </w:tcPr>
          <w:p>
            <w:pPr>
              <w:jc w:val="center"/>
            </w:pPr>
            <w:r/>
            <w:r>
              <w:rPr>
                <w:rFonts w:ascii="Arial" w:hAnsi="Arial" w:eastAsia="Arial"/>
                <w:b/>
                <w:i w:val="0"/>
                <w:color w:val="0B3A5C"/>
                <w:sz w:val="20"/>
              </w:rPr>
              <w:t>Country / region</w:t>
            </w:r>
          </w:p>
        </w:tc>
        <w:tc>
          <w:tcPr>
            <w:tcW w:type="dxa" w:w="1904"/>
          </w:tcPr>
          <w:p>
            <w:pPr>
              <w:jc w:val="center"/>
            </w:pPr>
            <w:r/>
            <w:r>
              <w:rPr>
                <w:rFonts w:ascii="Arial" w:hAnsi="Arial" w:eastAsia="Arial"/>
                <w:b/>
                <w:i w:val="0"/>
                <w:color w:val="0B3A5C"/>
                <w:sz w:val="20"/>
              </w:rPr>
              <w:t>Industrial robotics feature</w:t>
            </w:r>
          </w:p>
        </w:tc>
        <w:tc>
          <w:tcPr>
            <w:tcW w:type="dxa" w:w="1904"/>
          </w:tcPr>
          <w:p>
            <w:pPr>
              <w:jc w:val="center"/>
            </w:pPr>
            <w:r/>
            <w:r>
              <w:rPr>
                <w:rFonts w:ascii="Arial" w:hAnsi="Arial" w:eastAsia="Arial"/>
                <w:b/>
                <w:i w:val="0"/>
                <w:color w:val="0B3A5C"/>
                <w:sz w:val="20"/>
              </w:rPr>
              <w:t>Embodied intelligence / humanoids</w:t>
            </w:r>
          </w:p>
        </w:tc>
        <w:tc>
          <w:tcPr>
            <w:tcW w:type="dxa" w:w="1904"/>
          </w:tcPr>
          <w:p>
            <w:pPr>
              <w:jc w:val="center"/>
            </w:pPr>
            <w:r/>
            <w:r>
              <w:rPr>
                <w:rFonts w:ascii="Arial" w:hAnsi="Arial" w:eastAsia="Arial"/>
                <w:b/>
                <w:i w:val="0"/>
                <w:color w:val="0B3A5C"/>
                <w:sz w:val="20"/>
              </w:rPr>
              <w:t>Downstream cluster / exports</w:t>
            </w:r>
          </w:p>
        </w:tc>
        <w:tc>
          <w:tcPr>
            <w:tcW w:type="dxa" w:w="1904"/>
          </w:tcPr>
          <w:p>
            <w:pPr>
              <w:jc w:val="center"/>
            </w:pPr>
            <w:r/>
            <w:r>
              <w:rPr>
                <w:rFonts w:ascii="Arial" w:hAnsi="Arial" w:eastAsia="Arial"/>
                <w:b/>
                <w:i w:val="0"/>
                <w:color w:val="0B3A5C"/>
                <w:sz w:val="20"/>
              </w:rPr>
              <w:t>Position vs. Indonesia</w:t>
            </w:r>
          </w:p>
        </w:tc>
      </w:tr>
      <w:tr>
        <w:tc>
          <w:tcPr>
            <w:tcW w:type="dxa" w:w="1904"/>
          </w:tcPr>
          <w:p>
            <w:pPr>
              <w:jc w:val="center"/>
            </w:pPr>
            <w:r/>
            <w:r>
              <w:rPr>
                <w:rFonts w:ascii="Calibri" w:hAnsi="Calibri" w:eastAsia="Calibri"/>
                <w:b w:val="0"/>
                <w:i w:val="0"/>
                <w:color w:val="1F2937"/>
                <w:sz w:val="19"/>
              </w:rPr>
              <w:t>China</w:t>
            </w:r>
          </w:p>
        </w:tc>
        <w:tc>
          <w:tcPr>
            <w:tcW w:type="dxa" w:w="1904"/>
          </w:tcPr>
          <w:p>
            <w:pPr>
              <w:jc w:val="center"/>
            </w:pPr>
            <w:r/>
            <w:r>
              <w:rPr>
                <w:rFonts w:ascii="Calibri" w:hAnsi="Calibri" w:eastAsia="Calibri"/>
                <w:b w:val="0"/>
                <w:i w:val="0"/>
                <w:color w:val="1F2937"/>
                <w:sz w:val="19"/>
              </w:rPr>
              <w:t>295,000 units installed (2024); cumulative stock &gt;2.8M</w:t>
            </w:r>
          </w:p>
        </w:tc>
        <w:tc>
          <w:tcPr>
            <w:tcW w:type="dxa" w:w="1904"/>
          </w:tcPr>
          <w:p>
            <w:pPr>
              <w:jc w:val="center"/>
            </w:pPr>
            <w:r/>
            <w:r>
              <w:rPr>
                <w:rFonts w:ascii="Calibri" w:hAnsi="Calibri" w:eastAsia="Calibri"/>
                <w:b w:val="0"/>
                <w:i w:val="0"/>
                <w:color w:val="1F2937"/>
                <w:sz w:val="19"/>
              </w:rPr>
              <w:t>2025 education humanoids USD 1.96B; industrial services 84.7%</w:t>
            </w:r>
          </w:p>
        </w:tc>
        <w:tc>
          <w:tcPr>
            <w:tcW w:type="dxa" w:w="1904"/>
          </w:tcPr>
          <w:p>
            <w:pPr>
              <w:jc w:val="center"/>
            </w:pPr>
            <w:r/>
            <w:r>
              <w:rPr>
                <w:rFonts w:ascii="Calibri" w:hAnsi="Calibri" w:eastAsia="Calibri"/>
                <w:b w:val="0"/>
                <w:i w:val="0"/>
                <w:color w:val="1F2937"/>
                <w:sz w:val="19"/>
              </w:rPr>
              <w:t>World's second-largest industrial-robot exporter</w:t>
            </w:r>
          </w:p>
        </w:tc>
        <w:tc>
          <w:tcPr>
            <w:tcW w:type="dxa" w:w="1904"/>
          </w:tcPr>
          <w:p>
            <w:pPr>
              <w:jc w:val="center"/>
            </w:pPr>
            <w:r/>
            <w:r>
              <w:rPr>
                <w:rFonts w:ascii="Calibri" w:hAnsi="Calibri" w:eastAsia="Calibri"/>
                <w:b w:val="0"/>
                <w:i w:val="0"/>
                <w:color w:val="1F2937"/>
                <w:sz w:val="19"/>
              </w:rPr>
              <w:t>Strong upstream + downstream</w:t>
            </w:r>
          </w:p>
        </w:tc>
      </w:tr>
      <w:tr>
        <w:tc>
          <w:tcPr>
            <w:tcW w:type="dxa" w:w="1904"/>
          </w:tcPr>
          <w:p>
            <w:pPr>
              <w:jc w:val="center"/>
            </w:pPr>
            <w:r/>
            <w:r>
              <w:rPr>
                <w:rFonts w:ascii="Calibri" w:hAnsi="Calibri" w:eastAsia="Calibri"/>
                <w:b w:val="0"/>
                <w:i w:val="0"/>
                <w:color w:val="1F2937"/>
                <w:sz w:val="19"/>
              </w:rPr>
              <w:t>Japan</w:t>
            </w:r>
          </w:p>
        </w:tc>
        <w:tc>
          <w:tcPr>
            <w:tcW w:type="dxa" w:w="1904"/>
          </w:tcPr>
          <w:p>
            <w:pPr>
              <w:jc w:val="center"/>
            </w:pPr>
            <w:r/>
            <w:r>
              <w:rPr>
                <w:rFonts w:ascii="Calibri" w:hAnsi="Calibri" w:eastAsia="Calibri"/>
                <w:b w:val="0"/>
                <w:i w:val="0"/>
                <w:color w:val="1F2937"/>
                <w:sz w:val="19"/>
              </w:rPr>
              <w:t>One of the Big Four (Yaskawa / FANUC / NACHI / Kawasaki)</w:t>
            </w:r>
          </w:p>
        </w:tc>
        <w:tc>
          <w:tcPr>
            <w:tcW w:type="dxa" w:w="1904"/>
          </w:tcPr>
          <w:p>
            <w:pPr>
              <w:jc w:val="center"/>
            </w:pPr>
            <w:r/>
            <w:r>
              <w:rPr>
                <w:rFonts w:ascii="Calibri" w:hAnsi="Calibri" w:eastAsia="Calibri"/>
                <w:b w:val="0"/>
                <w:i w:val="0"/>
                <w:color w:val="1F2937"/>
                <w:sz w:val="19"/>
              </w:rPr>
              <w:t>Education USD 830M; body design leadership</w:t>
            </w:r>
          </w:p>
        </w:tc>
        <w:tc>
          <w:tcPr>
            <w:tcW w:type="dxa" w:w="1904"/>
          </w:tcPr>
          <w:p>
            <w:pPr>
              <w:jc w:val="center"/>
            </w:pPr>
            <w:r/>
            <w:r>
              <w:rPr>
                <w:rFonts w:ascii="Calibri" w:hAnsi="Calibri" w:eastAsia="Calibri"/>
                <w:b w:val="0"/>
                <w:i w:val="0"/>
                <w:color w:val="1F2937"/>
                <w:sz w:val="19"/>
              </w:rPr>
              <w:t>Precision manufacturing / semiconductor equipment</w:t>
            </w:r>
          </w:p>
        </w:tc>
        <w:tc>
          <w:tcPr>
            <w:tcW w:type="dxa" w:w="1904"/>
          </w:tcPr>
          <w:p>
            <w:pPr>
              <w:jc w:val="center"/>
            </w:pPr>
            <w:r/>
            <w:r>
              <w:rPr>
                <w:rFonts w:ascii="Calibri" w:hAnsi="Calibri" w:eastAsia="Calibri"/>
                <w:b w:val="0"/>
                <w:i w:val="0"/>
                <w:color w:val="1F2937"/>
                <w:sz w:val="19"/>
              </w:rPr>
              <w:t>Strong upstream + dense downstream</w:t>
            </w:r>
          </w:p>
        </w:tc>
      </w:tr>
      <w:tr>
        <w:tc>
          <w:tcPr>
            <w:tcW w:type="dxa" w:w="1904"/>
          </w:tcPr>
          <w:p>
            <w:pPr>
              <w:jc w:val="center"/>
            </w:pPr>
            <w:r/>
            <w:r>
              <w:rPr>
                <w:rFonts w:ascii="Calibri" w:hAnsi="Calibri" w:eastAsia="Calibri"/>
                <w:b w:val="0"/>
                <w:i w:val="0"/>
                <w:color w:val="1F2937"/>
                <w:sz w:val="19"/>
              </w:rPr>
              <w:t>Korea</w:t>
            </w:r>
          </w:p>
        </w:tc>
        <w:tc>
          <w:tcPr>
            <w:tcW w:type="dxa" w:w="1904"/>
          </w:tcPr>
          <w:p>
            <w:pPr>
              <w:jc w:val="center"/>
            </w:pPr>
            <w:r/>
            <w:r>
              <w:rPr>
                <w:rFonts w:ascii="Calibri" w:hAnsi="Calibri" w:eastAsia="Calibri"/>
                <w:b w:val="0"/>
                <w:i w:val="0"/>
                <w:color w:val="1F2937"/>
                <w:sz w:val="19"/>
              </w:rPr>
              <w:t>Hyundai Robotics / Doosan Robotics (cobots)</w:t>
            </w:r>
          </w:p>
        </w:tc>
        <w:tc>
          <w:tcPr>
            <w:tcW w:type="dxa" w:w="1904"/>
          </w:tcPr>
          <w:p>
            <w:pPr>
              <w:jc w:val="center"/>
            </w:pPr>
            <w:r/>
            <w:r>
              <w:rPr>
                <w:rFonts w:ascii="Calibri" w:hAnsi="Calibri" w:eastAsia="Calibri"/>
                <w:b w:val="0"/>
                <w:i w:val="0"/>
                <w:color w:val="1F2937"/>
                <w:sz w:val="19"/>
              </w:rPr>
              <w:t>Education USD 510M; service-robot leadership</w:t>
            </w:r>
          </w:p>
        </w:tc>
        <w:tc>
          <w:tcPr>
            <w:tcW w:type="dxa" w:w="1904"/>
          </w:tcPr>
          <w:p>
            <w:pPr>
              <w:jc w:val="center"/>
            </w:pPr>
            <w:r/>
            <w:r>
              <w:rPr>
                <w:rFonts w:ascii="Calibri" w:hAnsi="Calibri" w:eastAsia="Calibri"/>
                <w:b w:val="0"/>
                <w:i w:val="0"/>
                <w:color w:val="1F2937"/>
                <w:sz w:val="19"/>
              </w:rPr>
              <w:t>Semiconductors / EV batteries</w:t>
            </w:r>
          </w:p>
        </w:tc>
        <w:tc>
          <w:tcPr>
            <w:tcW w:type="dxa" w:w="1904"/>
          </w:tcPr>
          <w:p>
            <w:pPr>
              <w:jc w:val="center"/>
            </w:pPr>
            <w:r/>
            <w:r>
              <w:rPr>
                <w:rFonts w:ascii="Calibri" w:hAnsi="Calibri" w:eastAsia="Calibri"/>
                <w:b w:val="0"/>
                <w:i w:val="0"/>
                <w:color w:val="1F2937"/>
                <w:sz w:val="19"/>
              </w:rPr>
              <w:t>Strong upstream + dense downstream</w:t>
            </w:r>
          </w:p>
        </w:tc>
      </w:tr>
      <w:tr>
        <w:tc>
          <w:tcPr>
            <w:tcW w:type="dxa" w:w="1904"/>
          </w:tcPr>
          <w:p>
            <w:pPr>
              <w:jc w:val="center"/>
            </w:pPr>
            <w:r/>
            <w:r>
              <w:rPr>
                <w:rFonts w:ascii="Calibri" w:hAnsi="Calibri" w:eastAsia="Calibri"/>
                <w:b w:val="0"/>
                <w:i w:val="0"/>
                <w:color w:val="1F2937"/>
                <w:sz w:val="19"/>
              </w:rPr>
              <w:t>Indonesia</w:t>
            </w:r>
          </w:p>
        </w:tc>
        <w:tc>
          <w:tcPr>
            <w:tcW w:type="dxa" w:w="1904"/>
          </w:tcPr>
          <w:p>
            <w:pPr>
              <w:jc w:val="center"/>
            </w:pPr>
            <w:r/>
            <w:r>
              <w:rPr>
                <w:rFonts w:ascii="Calibri" w:hAnsi="Calibri" w:eastAsia="Calibri"/>
                <w:b w:val="0"/>
                <w:i w:val="0"/>
                <w:color w:val="1F2937"/>
                <w:sz w:val="19"/>
              </w:rPr>
              <w:t>Bodies mainly imported; midstream integration localized</w:t>
            </w:r>
          </w:p>
        </w:tc>
        <w:tc>
          <w:tcPr>
            <w:tcW w:type="dxa" w:w="1904"/>
          </w:tcPr>
          <w:p>
            <w:pPr>
              <w:jc w:val="center"/>
            </w:pPr>
            <w:r/>
            <w:r>
              <w:rPr>
                <w:rFonts w:ascii="Calibri" w:hAnsi="Calibri" w:eastAsia="Calibri"/>
                <w:b w:val="0"/>
                <w:i w:val="0"/>
                <w:color w:val="1F2937"/>
                <w:sz w:val="19"/>
              </w:rPr>
              <w:t>Education robots in early stage; service robots piloted in Jakarta</w:t>
            </w:r>
          </w:p>
        </w:tc>
        <w:tc>
          <w:tcPr>
            <w:tcW w:type="dxa" w:w="1904"/>
          </w:tcPr>
          <w:p>
            <w:pPr>
              <w:jc w:val="center"/>
            </w:pPr>
            <w:r/>
            <w:r>
              <w:rPr>
                <w:rFonts w:ascii="Calibri" w:hAnsi="Calibri" w:eastAsia="Calibri"/>
                <w:b w:val="0"/>
                <w:i w:val="0"/>
                <w:color w:val="1F2937"/>
                <w:sz w:val="19"/>
              </w:rPr>
              <w:t>Nickel / EV batteries / F&amp;B / electronics assembly</w:t>
            </w:r>
          </w:p>
        </w:tc>
        <w:tc>
          <w:tcPr>
            <w:tcW w:type="dxa" w:w="1904"/>
          </w:tcPr>
          <w:p>
            <w:pPr>
              <w:jc w:val="center"/>
            </w:pPr>
            <w:r/>
            <w:r>
              <w:rPr>
                <w:rFonts w:ascii="Calibri" w:hAnsi="Calibri" w:eastAsia="Calibri"/>
                <w:b w:val="0"/>
                <w:i w:val="0"/>
                <w:color w:val="1F2937"/>
                <w:sz w:val="19"/>
              </w:rPr>
              <w:t>Strong downstream apps, weak upstream, strong integration</w:t>
            </w:r>
          </w:p>
        </w:tc>
      </w:tr>
      <w:tr>
        <w:tc>
          <w:tcPr>
            <w:tcW w:type="dxa" w:w="1904"/>
          </w:tcPr>
          <w:p>
            <w:pPr>
              <w:jc w:val="center"/>
            </w:pPr>
            <w:r/>
            <w:r>
              <w:rPr>
                <w:rFonts w:ascii="Calibri" w:hAnsi="Calibri" w:eastAsia="Calibri"/>
                <w:b w:val="0"/>
                <w:i w:val="0"/>
                <w:color w:val="1F2937"/>
                <w:sz w:val="19"/>
              </w:rPr>
              <w:t>Thailand</w:t>
            </w:r>
          </w:p>
        </w:tc>
        <w:tc>
          <w:tcPr>
            <w:tcW w:type="dxa" w:w="1904"/>
          </w:tcPr>
          <w:p>
            <w:pPr>
              <w:jc w:val="center"/>
            </w:pPr>
            <w:r/>
            <w:r>
              <w:rPr>
                <w:rFonts w:ascii="Calibri" w:hAnsi="Calibri" w:eastAsia="Calibri"/>
                <w:b w:val="0"/>
                <w:i w:val="0"/>
                <w:color w:val="1F2937"/>
                <w:sz w:val="19"/>
              </w:rPr>
              <w:t>No nickel but strong EV cluster; mature automotive and electronics</w:t>
            </w:r>
          </w:p>
        </w:tc>
        <w:tc>
          <w:tcPr>
            <w:tcW w:type="dxa" w:w="1904"/>
          </w:tcPr>
          <w:p>
            <w:pPr>
              <w:jc w:val="center"/>
            </w:pPr>
            <w:r/>
            <w:r>
              <w:rPr>
                <w:rFonts w:ascii="Calibri" w:hAnsi="Calibri" w:eastAsia="Calibri"/>
                <w:b w:val="0"/>
                <w:i w:val="0"/>
                <w:color w:val="1F2937"/>
                <w:sz w:val="19"/>
              </w:rPr>
              <w:t>Education and public-sector early stage</w:t>
            </w:r>
          </w:p>
        </w:tc>
        <w:tc>
          <w:tcPr>
            <w:tcW w:type="dxa" w:w="1904"/>
          </w:tcPr>
          <w:p>
            <w:pPr>
              <w:jc w:val="center"/>
            </w:pPr>
            <w:r/>
            <w:r>
              <w:rPr>
                <w:rFonts w:ascii="Calibri" w:hAnsi="Calibri" w:eastAsia="Calibri"/>
                <w:b w:val="0"/>
                <w:i w:val="0"/>
                <w:color w:val="1F2937"/>
                <w:sz w:val="19"/>
              </w:rPr>
              <w:t>BYD Rayong (Jul 2024); USD 4B+ EV investment</w:t>
            </w:r>
          </w:p>
        </w:tc>
        <w:tc>
          <w:tcPr>
            <w:tcW w:type="dxa" w:w="1904"/>
          </w:tcPr>
          <w:p>
            <w:pPr>
              <w:jc w:val="center"/>
            </w:pPr>
            <w:r/>
            <w:r>
              <w:rPr>
                <w:rFonts w:ascii="Calibri" w:hAnsi="Calibri" w:eastAsia="Calibri"/>
                <w:b w:val="0"/>
                <w:i w:val="0"/>
                <w:color w:val="1F2937"/>
                <w:sz w:val="19"/>
              </w:rPr>
              <w:t>Strong downstream, weak upstream, localization-required</w:t>
            </w:r>
          </w:p>
        </w:tc>
      </w:tr>
      <w:tr>
        <w:tc>
          <w:tcPr>
            <w:tcW w:type="dxa" w:w="1904"/>
          </w:tcPr>
          <w:p>
            <w:pPr>
              <w:jc w:val="center"/>
            </w:pPr>
            <w:r/>
            <w:r>
              <w:rPr>
                <w:rFonts w:ascii="Calibri" w:hAnsi="Calibri" w:eastAsia="Calibri"/>
                <w:b w:val="0"/>
                <w:i w:val="0"/>
                <w:color w:val="1F2937"/>
                <w:sz w:val="19"/>
              </w:rPr>
              <w:t>Vietnam</w:t>
            </w:r>
          </w:p>
        </w:tc>
        <w:tc>
          <w:tcPr>
            <w:tcW w:type="dxa" w:w="1904"/>
          </w:tcPr>
          <w:p>
            <w:pPr>
              <w:jc w:val="center"/>
            </w:pPr>
            <w:r/>
            <w:r>
              <w:rPr>
                <w:rFonts w:ascii="Calibri" w:hAnsi="Calibri" w:eastAsia="Calibri"/>
                <w:b w:val="0"/>
                <w:i w:val="0"/>
                <w:color w:val="1F2937"/>
                <w:sz w:val="19"/>
              </w:rPr>
              <w:t>Top choice for manufacturing relocations; mature electronics assembly</w:t>
            </w:r>
          </w:p>
        </w:tc>
        <w:tc>
          <w:tcPr>
            <w:tcW w:type="dxa" w:w="1904"/>
          </w:tcPr>
          <w:p>
            <w:pPr>
              <w:jc w:val="center"/>
            </w:pPr>
            <w:r/>
            <w:r>
              <w:rPr>
                <w:rFonts w:ascii="Calibri" w:hAnsi="Calibri" w:eastAsia="Calibri"/>
                <w:b w:val="0"/>
                <w:i w:val="0"/>
                <w:color w:val="1F2937"/>
                <w:sz w:val="19"/>
              </w:rPr>
              <w:t>High acceptance of service robots</w:t>
            </w:r>
          </w:p>
        </w:tc>
        <w:tc>
          <w:tcPr>
            <w:tcW w:type="dxa" w:w="1904"/>
          </w:tcPr>
          <w:p>
            <w:pPr>
              <w:jc w:val="center"/>
            </w:pPr>
            <w:r/>
            <w:r>
              <w:rPr>
                <w:rFonts w:ascii="Calibri" w:hAnsi="Calibri" w:eastAsia="Calibri"/>
                <w:b w:val="0"/>
                <w:i w:val="0"/>
                <w:color w:val="1F2937"/>
                <w:sz w:val="19"/>
              </w:rPr>
              <w:t>Samsung, LG, Intel plants clustered</w:t>
            </w:r>
          </w:p>
        </w:tc>
        <w:tc>
          <w:tcPr>
            <w:tcW w:type="dxa" w:w="1904"/>
          </w:tcPr>
          <w:p>
            <w:pPr>
              <w:jc w:val="center"/>
            </w:pPr>
            <w:r/>
            <w:r>
              <w:rPr>
                <w:rFonts w:ascii="Calibri" w:hAnsi="Calibri" w:eastAsia="Calibri"/>
                <w:b w:val="0"/>
                <w:i w:val="0"/>
                <w:color w:val="1F2937"/>
                <w:sz w:val="19"/>
              </w:rPr>
              <w:t>Strong downstream, weak upstream, fastest growth</w:t>
            </w:r>
          </w:p>
        </w:tc>
      </w:tr>
      <w:tr>
        <w:tc>
          <w:tcPr>
            <w:tcW w:type="dxa" w:w="1904"/>
          </w:tcPr>
          <w:p>
            <w:pPr>
              <w:jc w:val="center"/>
            </w:pPr>
            <w:r/>
            <w:r>
              <w:rPr>
                <w:rFonts w:ascii="Calibri" w:hAnsi="Calibri" w:eastAsia="Calibri"/>
                <w:b w:val="0"/>
                <w:i w:val="0"/>
                <w:color w:val="1F2937"/>
                <w:sz w:val="19"/>
              </w:rPr>
              <w:t>Philippines</w:t>
            </w:r>
          </w:p>
        </w:tc>
        <w:tc>
          <w:tcPr>
            <w:tcW w:type="dxa" w:w="1904"/>
          </w:tcPr>
          <w:p>
            <w:pPr>
              <w:jc w:val="center"/>
            </w:pPr>
            <w:r/>
            <w:r>
              <w:rPr>
                <w:rFonts w:ascii="Calibri" w:hAnsi="Calibri" w:eastAsia="Calibri"/>
                <w:b w:val="0"/>
                <w:i w:val="0"/>
                <w:color w:val="1F2937"/>
                <w:sz w:val="19"/>
              </w:rPr>
              <w:t>Electronics assembly + nickel downstream window</w:t>
            </w:r>
          </w:p>
        </w:tc>
        <w:tc>
          <w:tcPr>
            <w:tcW w:type="dxa" w:w="1904"/>
          </w:tcPr>
          <w:p>
            <w:pPr>
              <w:jc w:val="center"/>
            </w:pPr>
            <w:r/>
            <w:r>
              <w:rPr>
                <w:rFonts w:ascii="Calibri" w:hAnsi="Calibri" w:eastAsia="Calibri"/>
                <w:b w:val="0"/>
                <w:i w:val="0"/>
                <w:color w:val="1F2937"/>
                <w:sz w:val="19"/>
              </w:rPr>
              <w:t>Education robots and BPO services dominant</w:t>
            </w:r>
          </w:p>
        </w:tc>
        <w:tc>
          <w:tcPr>
            <w:tcW w:type="dxa" w:w="1904"/>
          </w:tcPr>
          <w:p>
            <w:pPr>
              <w:jc w:val="center"/>
            </w:pPr>
            <w:r/>
            <w:r>
              <w:rPr>
                <w:rFonts w:ascii="Calibri" w:hAnsi="Calibri" w:eastAsia="Calibri"/>
                <w:b w:val="0"/>
                <w:i w:val="0"/>
                <w:color w:val="1F2937"/>
                <w:sz w:val="19"/>
              </w:rPr>
              <w:t>44.97M wet metric tonnes of nickel ore exports (2024), only two processing plants</w:t>
            </w:r>
          </w:p>
        </w:tc>
        <w:tc>
          <w:tcPr>
            <w:tcW w:type="dxa" w:w="1904"/>
          </w:tcPr>
          <w:p>
            <w:pPr>
              <w:jc w:val="center"/>
            </w:pPr>
            <w:r/>
            <w:r>
              <w:rPr>
                <w:rFonts w:ascii="Calibri" w:hAnsi="Calibri" w:eastAsia="Calibri"/>
                <w:b w:val="0"/>
                <w:i w:val="0"/>
                <w:color w:val="1F2937"/>
                <w:sz w:val="19"/>
              </w:rPr>
              <w:t>Downstream starts, upstream missed</w:t>
            </w:r>
          </w:p>
        </w:tc>
      </w:tr>
    </w:tbl>
    <w:p>
      <w:pPr>
        <w:spacing w:after="120"/>
      </w:pPr>
      <w:r>
        <w:rPr>
          <w:rFonts w:ascii="Calibri" w:hAnsi="Calibri" w:eastAsia="Calibri"/>
          <w:b w:val="0"/>
          <w:i w:val="0"/>
          <w:color w:val="4B5563"/>
          <w:sz w:val="18"/>
        </w:rPr>
        <w:t>Note: The Philippines Senate approved a raw-ore export ban in February 2025 but repealed it four months later over concerns about mine closures, financing, and insufficient domestic capacity—the reverse case of Indonesia's 'raw-ore export ban + downstreaming' path. Thailand's USD 4B+ EV investment figure is the publicly disclosed cumulative total, covering BYD, Great Wall, SAIC, Changan, GAC Aion, etc.</w:t>
      </w:r>
    </w:p>
    <w:p>
      <w:pPr>
        <w:spacing w:before="280" w:after="80"/>
      </w:pPr>
      <w:r>
        <w:rPr>
          <w:rFonts w:ascii="Arial" w:hAnsi="Arial" w:eastAsia="Arial"/>
          <w:b/>
          <w:i w:val="0"/>
          <w:color w:val="0E7C8A"/>
          <w:sz w:val="28"/>
        </w:rPr>
        <w:t>7. Sustainability Lens: The Energy-Consumption Paradox of Industry 4.0</w:t>
      </w:r>
    </w:p>
    <w:p>
      <w:pPr>
        <w:spacing w:line="408" w:lineRule="auto" w:after="120"/>
        <w:jc w:val="both"/>
      </w:pPr>
      <w:r>
        <w:rPr>
          <w:rFonts w:ascii="Calibri" w:hAnsi="Calibri" w:eastAsia="Calibri"/>
          <w:b w:val="0"/>
          <w:i w:val="0"/>
          <w:color w:val="1F2937"/>
          <w:sz w:val="22"/>
        </w:rPr>
        <w:t>This section responds to corpusdi's AI 4.0 and Green Industrialization series: Indonesia's advanced-manufacturing upgrade must be tied to sustainability, otherwise it falls into the 'using coal-fired power to build batteries' paradox.</w:t>
      </w:r>
    </w:p>
    <w:p>
      <w:pPr>
        <w:spacing w:before="200" w:after="40"/>
      </w:pPr>
      <w:r>
        <w:rPr>
          <w:rFonts w:ascii="Arial" w:hAnsi="Arial" w:eastAsia="Arial"/>
          <w:b/>
          <w:i w:val="0"/>
          <w:color w:val="0E7C8A"/>
          <w:sz w:val="24"/>
        </w:rPr>
        <w:t>7.1 The energy paradox: hidden cost of Industry 4.0</w:t>
      </w:r>
    </w:p>
    <w:p>
      <w:pPr>
        <w:spacing w:line="408" w:lineRule="auto" w:after="120"/>
        <w:jc w:val="both"/>
      </w:pPr>
      <w:r>
        <w:rPr>
          <w:rFonts w:ascii="Calibri" w:hAnsi="Calibri" w:eastAsia="Calibri"/>
          <w:b w:val="0"/>
          <w:i w:val="0"/>
          <w:color w:val="1F2937"/>
          <w:sz w:val="22"/>
        </w:rPr>
        <w:t>Indonesia's RUPTL 2025–2034 (national electricity procurement plan) targets 42.6 GW of renewables (17.1 GW of PV), but the Industry 4.0 path implies industrial-power demand growth of more than 10 GW—and a significant share of that will be met by captive coal. The same energy paradox shows up in our 'Indonesia nickel → battery' article: Morowali's captive coal at 31 GW.</w:t>
      </w:r>
    </w:p>
    <w:p>
      <w:pPr>
        <w:spacing w:before="200" w:after="40"/>
      </w:pPr>
      <w:r>
        <w:rPr>
          <w:rFonts w:ascii="Arial" w:hAnsi="Arial" w:eastAsia="Arial"/>
          <w:b/>
          <w:i w:val="0"/>
          <w:color w:val="0E7C8A"/>
          <w:sz w:val="24"/>
        </w:rPr>
        <w:t>7.2 Ecological modernization: the Batang counter-case</w:t>
      </w:r>
    </w:p>
    <w:p>
      <w:pPr>
        <w:spacing w:line="408" w:lineRule="auto" w:after="120"/>
        <w:jc w:val="both"/>
      </w:pPr>
      <w:r>
        <w:rPr>
          <w:rFonts w:ascii="Calibri" w:hAnsi="Calibri" w:eastAsia="Calibri"/>
          <w:b w:val="0"/>
          <w:i w:val="0"/>
          <w:color w:val="1F2937"/>
          <w:sz w:val="22"/>
        </w:rPr>
        <w:t>The Batang Industrial Estate (Central Java) ecological-modernization pilot offers the opposite view: mandatory wastewater reuse, energy efficiency improvements, industrial symbiosis (one plant's waste heat becoming another's energy input). The robots deployed at Batang are low-energy cobots, the opposite of Morowali's high-energy heavy-industry automation. Two archetypes of 'high-end manufacturing'.</w:t>
      </w:r>
    </w:p>
    <w:p>
      <w:pPr>
        <w:spacing w:before="200" w:after="40"/>
      </w:pPr>
      <w:r>
        <w:rPr>
          <w:rFonts w:ascii="Arial" w:hAnsi="Arial" w:eastAsia="Arial"/>
          <w:b/>
          <w:i w:val="0"/>
          <w:color w:val="0E7C8A"/>
          <w:sz w:val="24"/>
        </w:rPr>
        <w:t>7.3 Education and the local lens: ethics and employment</w:t>
      </w:r>
    </w:p>
    <w:p>
      <w:pPr>
        <w:spacing w:line="408" w:lineRule="auto" w:after="120"/>
        <w:jc w:val="both"/>
      </w:pPr>
      <w:r>
        <w:rPr>
          <w:rFonts w:ascii="Calibri" w:hAnsi="Calibri" w:eastAsia="Calibri"/>
          <w:b w:val="0"/>
          <w:i w:val="0"/>
          <w:color w:val="1F2937"/>
          <w:sz w:val="22"/>
        </w:rPr>
        <w:t>Indonesia's manufacturing sector employed 19.3 million in 2023, around 14% of total employment. The employment impact of Industry 4.0 is a live social debate: low-end labour-intensive jobs (electronics assembly, textiles, leather) are most exposed; high-skill jobs (robot maintenance, vision-system engineering, automation engineering) are rising in demand but undersupplied. Jakarta's 2024 minimum wage (IDR 5,000,000 ≈ USD 320 per month, +10% YoY) means low-end labour has crossed the 'substitution threshold'.</w:t>
      </w:r>
    </w:p>
    <w:p>
      <w:pPr>
        <w:spacing w:before="280" w:after="80"/>
      </w:pPr>
      <w:r>
        <w:rPr>
          <w:rFonts w:ascii="Arial" w:hAnsi="Arial" w:eastAsia="Arial"/>
          <w:b/>
          <w:i w:val="0"/>
          <w:color w:val="0B3A5C"/>
          <w:sz w:val="28"/>
        </w:rPr>
        <w:t>8. Conclusion: Three Hard Clues for Indonesia's Advanced-Manufacturing Leap</w:t>
      </w:r>
    </w:p>
    <w:p>
      <w:pPr>
        <w:spacing w:line="408" w:lineRule="auto" w:after="120"/>
        <w:jc w:val="both"/>
      </w:pPr>
      <w:r>
        <w:rPr>
          <w:rFonts w:ascii="Calibri" w:hAnsi="Calibri" w:eastAsia="Calibri"/>
          <w:b w:val="0"/>
          <w:i w:val="0"/>
          <w:color w:val="1F2937"/>
          <w:sz w:val="22"/>
        </w:rPr>
        <w:t>Returning to the five opening questions, we offer three hard clues for international industry researchers, corporate strategy teams, and policymakers.</w:t>
      </w:r>
    </w:p>
    <w:p>
      <w:pPr>
        <w:spacing w:line="408" w:lineRule="auto" w:after="120"/>
        <w:jc w:val="both"/>
      </w:pPr>
      <w:r>
        <w:rPr>
          <w:rFonts w:ascii="Calibri" w:hAnsi="Calibri" w:eastAsia="Calibri"/>
          <w:b w:val="0"/>
          <w:i w:val="0"/>
          <w:color w:val="1F2937"/>
          <w:sz w:val="22"/>
        </w:rPr>
        <w:t>Clue one: the policy framework is mature, the market scale still has to be realized. Making Indonesia 4.0 + INDI 4.0 + PIDI 4.0 + SBIN is a clear four-layer architecture, with 60+ companies scoring above 3.0 on INDI 4.0. But the industrial-robotics market was only USD 20.24M in 2024, projected at USD 47.75M by 2030—still far below Korea or Japan in absolute terms. Whether the 'policy leverage' effect can produce a Korea/Japan-tier value chain in five to ten years is the key open question.</w:t>
      </w:r>
    </w:p>
    <w:p>
      <w:pPr>
        <w:spacing w:line="408" w:lineRule="auto" w:after="120"/>
        <w:jc w:val="both"/>
      </w:pPr>
      <w:r>
        <w:rPr>
          <w:rFonts w:ascii="Calibri" w:hAnsi="Calibri" w:eastAsia="Calibri"/>
          <w:b w:val="0"/>
          <w:i w:val="0"/>
          <w:color w:val="1F2937"/>
          <w:sz w:val="22"/>
        </w:rPr>
        <w:t>Clue two: local integration is catching up fast; independent body capability still needs five to ten years. The high-end integration capability of local OEMs such as PT Astra Daihatsu Motor and IAMI is real and measurable, but core-component localization still depends on Japan/Korea/China imports. Chinese robotics makers enter Indonesia through service robots and parts, exploiting cost-performance and localization-service advantages. A large-scale 'high-end body presence' is unlikely in the next three to five years, though a localized scale effect in service robots and cobots is plausible. Chinese + local integrator collaboration is the most actionable structural opportunity for 2025–2030.</w:t>
      </w:r>
    </w:p>
    <w:p>
      <w:pPr>
        <w:spacing w:line="408" w:lineRule="auto" w:after="120"/>
        <w:jc w:val="both"/>
      </w:pPr>
      <w:r>
        <w:rPr>
          <w:rFonts w:ascii="Calibri" w:hAnsi="Calibri" w:eastAsia="Calibri"/>
          <w:b w:val="0"/>
          <w:i w:val="0"/>
          <w:color w:val="1F2937"/>
          <w:sz w:val="22"/>
        </w:rPr>
        <w:t>Clue three: sustainability must be co-designed with advanced manufacturing. The gap between Batang's pilot and Morowali's 31 GW of captive coal defines two possible versions of Indonesian advanced manufacturing: 'precision, low-energy, sustainable' on one side; 'heavy industry, high energy, high value' on the other. International researchers and corporate-strategy teams evaluating Indonesia should not look only at robot installation counts; they should also weigh the energy and ecological cost of the Industry 4.0 upgrade path, treating Batang as the 'high-quality manufacturing Indonesia wants to build' observation sample.</w:t>
      </w:r>
    </w:p>
    <w:p/>
    <w:p>
      <w:pPr>
        <w:spacing w:before="280" w:after="80"/>
      </w:pPr>
      <w:r>
        <w:rPr>
          <w:rFonts w:ascii="Arial" w:hAnsi="Arial" w:eastAsia="Arial"/>
          <w:b/>
          <w:i w:val="0"/>
          <w:color w:val="0B3A5C"/>
          <w:sz w:val="28"/>
        </w:rPr>
        <w:t>Sources</w:t>
      </w:r>
    </w:p>
    <w:p>
      <w:pPr>
        <w:spacing w:after="60"/>
        <w:ind w:left="397"/>
      </w:pPr>
      <w:r>
        <w:rPr>
          <w:rFonts w:ascii="Calibri" w:hAnsi="Calibri" w:eastAsia="Calibri"/>
          <w:b/>
          <w:i w:val="0"/>
          <w:color w:val="1F2937"/>
          <w:sz w:val="22"/>
        </w:rPr>
        <w:t xml:space="preserve">1. </w:t>
      </w:r>
      <w:r>
        <w:rPr>
          <w:rFonts w:ascii="Calibri" w:hAnsi="Calibri" w:eastAsia="Calibri"/>
          <w:b w:val="0"/>
          <w:i w:val="0"/>
          <w:color w:val="1F2937"/>
          <w:sz w:val="22"/>
        </w:rPr>
        <w:t>Mordor Intelligence: Indonesia Industrial Robotics Market 2024–2030 (USD 20.24M → USD 47.75M)</w:t>
      </w:r>
    </w:p>
    <w:p>
      <w:pPr>
        <w:spacing w:after="60"/>
        <w:ind w:left="397"/>
      </w:pPr>
      <w:r>
        <w:rPr>
          <w:rFonts w:ascii="Calibri" w:hAnsi="Calibri" w:eastAsia="Calibri"/>
          <w:b/>
          <w:i w:val="0"/>
          <w:color w:val="1F2937"/>
          <w:sz w:val="22"/>
        </w:rPr>
        <w:t xml:space="preserve">2. </w:t>
      </w:r>
      <w:r>
        <w:rPr>
          <w:rFonts w:ascii="Calibri" w:hAnsi="Calibri" w:eastAsia="Calibri"/>
          <w:b w:val="0"/>
          <w:i w:val="0"/>
          <w:color w:val="1F2937"/>
          <w:sz w:val="22"/>
        </w:rPr>
        <w:t>Statista: Indonesia AI-Enabled Robotics Revenue 2024–2030 (USD 57.95M → USD 228.70M)</w:t>
      </w:r>
    </w:p>
    <w:p>
      <w:pPr>
        <w:spacing w:after="60"/>
        <w:ind w:left="397"/>
      </w:pPr>
      <w:r>
        <w:rPr>
          <w:rFonts w:ascii="Calibri" w:hAnsi="Calibri" w:eastAsia="Calibri"/>
          <w:b/>
          <w:i w:val="0"/>
          <w:color w:val="1F2937"/>
          <w:sz w:val="22"/>
        </w:rPr>
        <w:t xml:space="preserve">3. </w:t>
      </w:r>
      <w:r>
        <w:rPr>
          <w:rFonts w:ascii="Calibri" w:hAnsi="Calibri" w:eastAsia="Calibri"/>
          <w:b w:val="0"/>
          <w:i w:val="0"/>
          <w:color w:val="1F2937"/>
          <w:sz w:val="22"/>
        </w:rPr>
        <w:t>Sunrise Expo via Mordor: Indonesia Humanoid Robot Market 2023–2035 (USD 10.07M → USD 200M)</w:t>
      </w:r>
    </w:p>
    <w:p>
      <w:pPr>
        <w:spacing w:after="60"/>
        <w:ind w:left="397"/>
      </w:pPr>
      <w:r>
        <w:rPr>
          <w:rFonts w:ascii="Calibri" w:hAnsi="Calibri" w:eastAsia="Calibri"/>
          <w:b/>
          <w:i w:val="0"/>
          <w:color w:val="1F2937"/>
          <w:sz w:val="22"/>
        </w:rPr>
        <w:t xml:space="preserve">4. </w:t>
      </w:r>
      <w:r>
        <w:rPr>
          <w:rFonts w:ascii="Calibri" w:hAnsi="Calibri" w:eastAsia="Calibri"/>
          <w:b w:val="0"/>
          <w:i w:val="0"/>
          <w:color w:val="1F2937"/>
          <w:sz w:val="22"/>
        </w:rPr>
        <w:t>6W Research / Technavio: Indonesia Industrial Automation &amp; Control Systems 2024–2033 (USD 3.40B → USD 8.40B)</w:t>
      </w:r>
    </w:p>
    <w:p>
      <w:pPr>
        <w:spacing w:after="60"/>
        <w:ind w:left="397"/>
      </w:pPr>
      <w:r>
        <w:rPr>
          <w:rFonts w:ascii="Calibri" w:hAnsi="Calibri" w:eastAsia="Calibri"/>
          <w:b/>
          <w:i w:val="0"/>
          <w:color w:val="1F2937"/>
          <w:sz w:val="22"/>
        </w:rPr>
        <w:t xml:space="preserve">5. </w:t>
      </w:r>
      <w:r>
        <w:rPr>
          <w:rFonts w:ascii="Calibri" w:hAnsi="Calibri" w:eastAsia="Calibri"/>
          <w:b w:val="0"/>
          <w:i w:val="0"/>
          <w:color w:val="1F2937"/>
          <w:sz w:val="22"/>
        </w:rPr>
        <w:t>P&amp;S Intelligence: Indonesia Industrial Automation Market 2025 (sensors 35%, SCADA 40%, PLC fastest-growing)</w:t>
      </w:r>
    </w:p>
    <w:p>
      <w:pPr>
        <w:spacing w:after="60"/>
        <w:ind w:left="397"/>
      </w:pPr>
      <w:r>
        <w:rPr>
          <w:rFonts w:ascii="Calibri" w:hAnsi="Calibri" w:eastAsia="Calibri"/>
          <w:b/>
          <w:i w:val="0"/>
          <w:color w:val="1F2937"/>
          <w:sz w:val="22"/>
        </w:rPr>
        <w:t xml:space="preserve">6. </w:t>
      </w:r>
      <w:r>
        <w:rPr>
          <w:rFonts w:ascii="Calibri" w:hAnsi="Calibri" w:eastAsia="Calibri"/>
          <w:b w:val="0"/>
          <w:i w:val="0"/>
          <w:color w:val="1F2937"/>
          <w:sz w:val="22"/>
        </w:rPr>
        <w:t>International Federation of Robotics (IFR): World Robotics Report 2024 (global 542,000 units; Asia 74%; China 295,000 units)</w:t>
      </w:r>
    </w:p>
    <w:p>
      <w:pPr>
        <w:spacing w:after="60"/>
        <w:ind w:left="397"/>
      </w:pPr>
      <w:r>
        <w:rPr>
          <w:rFonts w:ascii="Calibri" w:hAnsi="Calibri" w:eastAsia="Calibri"/>
          <w:b/>
          <w:i w:val="0"/>
          <w:color w:val="1F2937"/>
          <w:sz w:val="22"/>
        </w:rPr>
        <w:t xml:space="preserve">7. </w:t>
      </w:r>
      <w:r>
        <w:rPr>
          <w:rFonts w:ascii="Calibri" w:hAnsi="Calibri" w:eastAsia="Calibri"/>
          <w:b w:val="0"/>
          <w:i w:val="0"/>
          <w:color w:val="1F2937"/>
          <w:sz w:val="22"/>
        </w:rPr>
        <w:t>Goldman Sachs: Humanoid Robot Market 2035 Projection (USD 38B)</w:t>
      </w:r>
    </w:p>
    <w:p>
      <w:pPr>
        <w:spacing w:after="60"/>
        <w:ind w:left="397"/>
      </w:pPr>
      <w:r>
        <w:rPr>
          <w:rFonts w:ascii="Calibri" w:hAnsi="Calibri" w:eastAsia="Calibri"/>
          <w:b/>
          <w:i w:val="0"/>
          <w:color w:val="1F2937"/>
          <w:sz w:val="22"/>
        </w:rPr>
        <w:t xml:space="preserve">8. </w:t>
      </w:r>
      <w:r>
        <w:rPr>
          <w:rFonts w:ascii="Calibri" w:hAnsi="Calibri" w:eastAsia="Calibri"/>
          <w:b w:val="0"/>
          <w:i w:val="0"/>
          <w:color w:val="1F2937"/>
          <w:sz w:val="22"/>
        </w:rPr>
        <w:t>Oxford Business Group: Indonesia 2024 Industry Report (manufacturing 18.7% of GDP, 19.3M workers)</w:t>
      </w:r>
    </w:p>
    <w:p>
      <w:pPr>
        <w:spacing w:after="60"/>
        <w:ind w:left="397"/>
      </w:pPr>
      <w:r>
        <w:rPr>
          <w:rFonts w:ascii="Calibri" w:hAnsi="Calibri" w:eastAsia="Calibri"/>
          <w:b/>
          <w:i w:val="0"/>
          <w:color w:val="1F2937"/>
          <w:sz w:val="22"/>
        </w:rPr>
        <w:t xml:space="preserve">9. </w:t>
      </w:r>
      <w:r>
        <w:rPr>
          <w:rFonts w:ascii="Calibri" w:hAnsi="Calibri" w:eastAsia="Calibri"/>
          <w:b w:val="0"/>
          <w:i w:val="0"/>
          <w:color w:val="1F2937"/>
          <w:sz w:val="22"/>
        </w:rPr>
        <w:t>PT Isuzu Astra Motor Indonesia (IAMI) official statements: 2024-06 INDI 4.0 first CV-sector certification + 2024-10 Smart Factory category award</w:t>
      </w:r>
    </w:p>
    <w:p>
      <w:pPr>
        <w:spacing w:after="60"/>
        <w:ind w:left="397"/>
      </w:pPr>
      <w:r>
        <w:rPr>
          <w:rFonts w:ascii="Calibri" w:hAnsi="Calibri" w:eastAsia="Calibri"/>
          <w:b/>
          <w:i w:val="0"/>
          <w:color w:val="1F2937"/>
          <w:sz w:val="22"/>
        </w:rPr>
        <w:t xml:space="preserve">10. </w:t>
      </w:r>
      <w:r>
        <w:rPr>
          <w:rFonts w:ascii="Calibri" w:hAnsi="Calibri" w:eastAsia="Calibri"/>
          <w:b w:val="0"/>
          <w:i w:val="0"/>
          <w:color w:val="1F2937"/>
          <w:sz w:val="22"/>
        </w:rPr>
        <w:t>ReportLinker: Indonesia Robotics Market Report Q1 2025 (PT Astra Daihatsu Motor, Doosan Robotics cases)</w:t>
      </w:r>
    </w:p>
    <w:p>
      <w:pPr>
        <w:spacing w:after="60"/>
        <w:ind w:left="397"/>
      </w:pPr>
      <w:r>
        <w:rPr>
          <w:rFonts w:ascii="Calibri" w:hAnsi="Calibri" w:eastAsia="Calibri"/>
          <w:b/>
          <w:i w:val="0"/>
          <w:color w:val="1F2937"/>
          <w:sz w:val="22"/>
        </w:rPr>
        <w:t xml:space="preserve">11. </w:t>
      </w:r>
      <w:r>
        <w:rPr>
          <w:rFonts w:ascii="Calibri" w:hAnsi="Calibri" w:eastAsia="Calibri"/>
          <w:b w:val="0"/>
          <w:i w:val="0"/>
          <w:color w:val="1F2937"/>
          <w:sz w:val="22"/>
        </w:rPr>
        <w:t>VOI: Isuzu Astra Indonesia receives INDI 4.0 award 2024 Smart Factory category</w:t>
      </w:r>
    </w:p>
    <w:p>
      <w:pPr>
        <w:spacing w:after="60"/>
        <w:ind w:left="397"/>
      </w:pPr>
      <w:r>
        <w:rPr>
          <w:rFonts w:ascii="Calibri" w:hAnsi="Calibri" w:eastAsia="Calibri"/>
          <w:b/>
          <w:i w:val="0"/>
          <w:color w:val="1F2937"/>
          <w:sz w:val="22"/>
        </w:rPr>
        <w:t xml:space="preserve">12. </w:t>
      </w:r>
      <w:r>
        <w:rPr>
          <w:rFonts w:ascii="Calibri" w:hAnsi="Calibri" w:eastAsia="Calibri"/>
          <w:b w:val="0"/>
          <w:i w:val="0"/>
          <w:color w:val="1F2937"/>
          <w:sz w:val="22"/>
        </w:rPr>
        <w:t>ANTARA News (2025-07-14): Minister of Industry Agus Gumiwang Kartasasmita's SBIN lecture at Hiroshima University</w:t>
      </w:r>
    </w:p>
    <w:p>
      <w:pPr>
        <w:spacing w:after="60"/>
        <w:ind w:left="397"/>
      </w:pPr>
      <w:r>
        <w:rPr>
          <w:rFonts w:ascii="Calibri" w:hAnsi="Calibri" w:eastAsia="Calibri"/>
          <w:b/>
          <w:i w:val="0"/>
          <w:color w:val="1F2937"/>
          <w:sz w:val="22"/>
        </w:rPr>
        <w:t xml:space="preserve">13. </w:t>
      </w:r>
      <w:r>
        <w:rPr>
          <w:rFonts w:ascii="Calibri" w:hAnsi="Calibri" w:eastAsia="Calibri"/>
          <w:b w:val="0"/>
          <w:i w:val="0"/>
          <w:color w:val="1F2937"/>
          <w:sz w:val="22"/>
        </w:rPr>
        <w:t>TTWTO VCCI: 'Beyond Data Centers: How Nickel Could Move Indonesia Up ASEAN's AI Value Chain' (Philippines / Thailand / Indonesia comparison)</w:t>
      </w:r>
    </w:p>
    <w:p>
      <w:pPr>
        <w:spacing w:after="60"/>
        <w:ind w:left="397"/>
      </w:pPr>
      <w:r>
        <w:rPr>
          <w:rFonts w:ascii="Calibri" w:hAnsi="Calibri" w:eastAsia="Calibri"/>
          <w:b/>
          <w:i w:val="0"/>
          <w:color w:val="1F2937"/>
          <w:sz w:val="22"/>
        </w:rPr>
        <w:t xml:space="preserve">14. </w:t>
      </w:r>
      <w:r>
        <w:rPr>
          <w:rFonts w:ascii="Calibri" w:hAnsi="Calibri" w:eastAsia="Calibri"/>
          <w:b w:val="0"/>
          <w:i w:val="0"/>
          <w:color w:val="1F2937"/>
          <w:sz w:val="22"/>
        </w:rPr>
        <w:t>New Economy Herald (2025): Embodied-intelligence robotics going overseas — opportunities, challenges, and path choices (Chinese robotics makers' ASEAN footprint)</w:t>
      </w:r>
    </w:p>
    <w:p>
      <w:pPr>
        <w:spacing w:after="60"/>
        <w:ind w:left="397"/>
      </w:pPr>
      <w:r>
        <w:rPr>
          <w:rFonts w:ascii="Calibri" w:hAnsi="Calibri" w:eastAsia="Calibri"/>
          <w:b/>
          <w:i w:val="0"/>
          <w:color w:val="1F2937"/>
          <w:sz w:val="22"/>
        </w:rPr>
        <w:t xml:space="preserve">15. </w:t>
      </w:r>
      <w:r>
        <w:rPr>
          <w:rFonts w:ascii="Calibri" w:hAnsi="Calibri" w:eastAsia="Calibri"/>
          <w:b w:val="0"/>
          <w:i w:val="0"/>
          <w:color w:val="1F2937"/>
          <w:sz w:val="22"/>
        </w:rPr>
        <w:t>XINJJJ Industry Research Center (2025): 2025 Indonesia Industrial Robot System Integration Industry Market Status and Foreign-Entry Feasibility Study</w:t>
      </w:r>
    </w:p>
    <w:p/>
    <w:p>
      <w:pPr>
        <w:spacing w:after="120"/>
      </w:pPr>
      <w:r>
        <w:rPr>
          <w:rFonts w:ascii="Calibri" w:hAnsi="Calibri" w:eastAsia="Calibri"/>
          <w:b w:val="0"/>
          <w:i w:val="0"/>
          <w:color w:val="4B5563"/>
          <w:sz w:val="18"/>
        </w:rPr>
        <w:t>Note: The corpusdi platform retains original methodology and timestamp for every data point. This article shares the Morowali and Batang industrial-estate ecosystem analysis with our 'Indonesia nickel → battery' article; the latter focuses on the 'nickel downstreaming' path, while this article focuses on the 'robotics and embodied intelligence high-end manufacturing' lens.</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