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Times New Roman" w:hAnsi="Times New Roman" w:eastAsia="黑体"/>
          <w:b/>
          <w:color w:val="0B3A5C"/>
          <w:sz w:val="36"/>
        </w:rPr>
        <w:t>沙特「2030愿景」五年复盘：非油经济占比的数据观察</w:t>
      </w:r>
    </w:p>
    <w:p>
      <w:pPr>
        <w:spacing w:after="80"/>
        <w:jc w:val="center"/>
      </w:pPr>
      <w:r>
        <w:rPr>
          <w:rFonts w:ascii="Times New Roman" w:hAnsi="Times New Roman" w:eastAsia="宋体"/>
          <w:b w:val="0"/>
          <w:color w:val="4B5563"/>
          <w:sz w:val="19"/>
        </w:rPr>
        <w:t>corpusdi 区域国别数据开放平台 · 国别研究（中东）· 产业投资 / 可持续发展领域分析</w:t>
      </w:r>
    </w:p>
    <w:p>
      <w:pPr>
        <w:spacing w:after="80"/>
        <w:jc w:val="center"/>
      </w:pPr>
      <w:r>
        <w:rPr>
          <w:rFonts w:ascii="Times New Roman" w:hAnsi="Times New Roman" w:eastAsia="宋体"/>
          <w:b w:val="0"/>
          <w:color w:val="4B5563"/>
          <w:sz w:val="19"/>
        </w:rPr>
        <w:t>数据来源：沙特统计总局（GASTAT）、2030 愿景 2025 年度报告、沙特经济与计划部（MEP）、路透社及对象国本地媒体公开报道</w:t>
      </w:r>
    </w:p>
    <w:p>
      <w:pPr>
        <w:spacing w:before="280" w:after="120"/>
      </w:pPr>
      <w:r>
        <w:rPr>
          <w:rFonts w:ascii="Times New Roman" w:hAnsi="Times New Roman" w:eastAsia="黑体"/>
          <w:b/>
          <w:color w:val="0B3A5C"/>
          <w:sz w:val="28"/>
        </w:rPr>
        <w:t>摘要</w:t>
      </w:r>
    </w:p>
    <w:p>
      <w:pPr>
        <w:spacing w:line="360" w:lineRule="auto"/>
        <w:ind w:firstLine="440"/>
        <w:jc w:val="both"/>
      </w:pPr>
      <w:r>
        <w:rPr>
          <w:rFonts w:ascii="Times New Roman" w:hAnsi="Times New Roman" w:eastAsia="宋体"/>
          <w:b w:val="0"/>
          <w:sz w:val="22"/>
        </w:rPr>
        <w:t>沙特阿拉伯"2030 愿景"自 2016 年 4 月启动，至 2026 年恰好走过十年，正式进入以"加速交付、巩固成果"为主题的第三阶段——收官阶段。本文聚焦其后半程的五年（2021–2025），以非油经济占比为核心指标进行数据复盘。核心发现有三：其一，非油活动占实际 GDP 的比重已从启动时约 44% 升至 55%，非油实际增速连续五年运行在 4.5%–5.4% 区间，显著高于 2010 年代约 2% 的均值，经济对油价的敏感度出现结构性下降；其二，需求侧与社会面 KPI 表现最强——沙特国民失业率降至 7.2%、女性劳动参与率升至 35%、年游客总量达 1.23 亿人次，均已提前达到或超越原定 2030 年目标；其三，供给侧结构性指标仍有明显缺口——私营部门占 GDP 比重为 51%（目标 65%），外国直接投资占 GDP 比重为 2.8%（目标 5.7%），公共投资基金（PIF）资产规模低于年度报告设定的目标线。此外，2025 年 5 月 GASTAT 的 GDP 全面基数修订一次性将非油占比上调 5.7 个百分点——统计口径的更新本身已成为转型叙事的一部分，这提醒观察者必须区分"真实转型"与"口径变化"，也是本文以多口径交叉验证展开的原因。</w:t>
      </w:r>
    </w:p>
    <w:p>
      <w:pPr>
        <w:spacing w:before="280" w:after="120"/>
      </w:pPr>
      <w:r>
        <w:rPr>
          <w:rFonts w:ascii="Times New Roman" w:hAnsi="Times New Roman" w:eastAsia="黑体"/>
          <w:b/>
          <w:color w:val="0B3A5C"/>
          <w:sz w:val="28"/>
        </w:rPr>
        <w:t>一、口径先行：一次改写了叙事的 GDP 基数修订</w:t>
      </w:r>
    </w:p>
    <w:p>
      <w:pPr>
        <w:spacing w:line="360" w:lineRule="auto"/>
        <w:ind w:firstLine="440"/>
        <w:jc w:val="both"/>
      </w:pPr>
      <w:r>
        <w:rPr>
          <w:rFonts w:ascii="Times New Roman" w:hAnsi="Times New Roman" w:eastAsia="宋体"/>
          <w:b w:val="0"/>
          <w:sz w:val="22"/>
        </w:rPr>
        <w:t>复盘任何沙特经济数据之前，必须先处理一个方法论事件。2024 年初，沙特统计总局（GASTAT）启动了对国民账户的全面更新：实地调查覆盖 240 万个经营场所、12.2 万户家庭和 88 万个农业经营单位，整合了 60 多个行政数据源；经济活动分类从 85 类扩展到 134 类，基准年从 2018 年更新至 2023 年，并引入链式实际 GDP 方法。2025 年 5 月发布的修订结果显示：新兴部门（金融科技、物流、体育、创意经济、娱乐）的覆盖显著改善，建筑、批发零售与餐旅、运输仓储与通信三大板块的产值分别上修 61%、29.8% 和 25.6%。</w:t>
      </w:r>
    </w:p>
    <w:p>
      <w:pPr>
        <w:spacing w:line="360" w:lineRule="auto"/>
        <w:ind w:firstLine="440"/>
        <w:jc w:val="both"/>
      </w:pPr>
      <w:r>
        <w:rPr>
          <w:rFonts w:ascii="Times New Roman" w:hAnsi="Times New Roman" w:eastAsia="宋体"/>
          <w:b w:val="0"/>
          <w:sz w:val="22"/>
        </w:rPr>
        <w:t>这次修订对核心指标的影响是直接的——非油活动占 GDP 的比重被修订为 53.2%，比此前估算一次性上调 5.7 个百分点。经济与计划大臣兼 GASTAT 主席费萨尔·易卜拉欣将其定位为"反映经济多元化势头的战略里程碑"；国际货币基金组织（IMF）在 2025 年第四条款磋商中认可新口径与国际最佳实践总体一致。换言之，官方与外部监督机构均接受这次修订的合法性。</w:t>
      </w:r>
    </w:p>
    <w:p>
      <w:pPr>
        <w:spacing w:line="360" w:lineRule="auto"/>
        <w:ind w:firstLine="440"/>
        <w:jc w:val="both"/>
      </w:pPr>
      <w:r>
        <w:rPr>
          <w:rFonts w:ascii="Times New Roman" w:hAnsi="Times New Roman" w:eastAsia="宋体"/>
          <w:b w:val="0"/>
          <w:sz w:val="22"/>
        </w:rPr>
        <w:t>但由此产生的结果是：当前市场上至少并存三个"非油占比"数字，各自对应不同口径，混用即误读。</w:t>
      </w:r>
    </w:p>
    <w:p>
      <w:pPr>
        <w:spacing w:before="200" w:after="80"/>
      </w:pPr>
      <w:r>
        <w:rPr>
          <w:rFonts w:ascii="Times New Roman" w:hAnsi="Times New Roman" w:eastAsia="黑体"/>
          <w:b/>
          <w:color w:val="0E7C8A"/>
          <w:sz w:val="24"/>
        </w:rPr>
        <w:t>表 1：「非油经济占比」的三种口径（2025 年）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口径</w:t>
            </w:r>
          </w:p>
        </w:tc>
        <w:tc>
          <w:tcPr>
            <w:tcW w:type="dxa" w:w="235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数值</w:t>
            </w:r>
          </w:p>
        </w:tc>
        <w:tc>
          <w:tcPr>
            <w:tcW w:type="dxa" w:w="235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「石油活动」的定义</w:t>
            </w:r>
          </w:p>
        </w:tc>
        <w:tc>
          <w:tcPr>
            <w:tcW w:type="dxa" w:w="235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出处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年度报告（实际 GDP）</w:t>
            </w:r>
          </w:p>
        </w:tc>
        <w:tc>
          <w:tcPr>
            <w:tcW w:type="dxa" w:w="235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55%</w:t>
            </w:r>
          </w:p>
        </w:tc>
        <w:tc>
          <w:tcPr>
            <w:tcW w:type="dxa" w:w="235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原油与天然气开采及相关</w:t>
            </w:r>
          </w:p>
        </w:tc>
        <w:tc>
          <w:tcPr>
            <w:tcW w:type="dxa" w:w="235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2030 愿景 2025 年度报告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修订后年度值</w:t>
            </w:r>
          </w:p>
        </w:tc>
        <w:tc>
          <w:tcPr>
            <w:tcW w:type="dxa" w:w="235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53.2%</w:t>
            </w:r>
          </w:p>
        </w:tc>
        <w:tc>
          <w:tcPr>
            <w:tcW w:type="dxa" w:w="235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同上（修订后基准）</w:t>
            </w:r>
          </w:p>
        </w:tc>
        <w:tc>
          <w:tcPr>
            <w:tcW w:type="dxa" w:w="235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GASTAT 2025 年 5 月基数修订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季度统计（名义 GDP）</w:t>
            </w:r>
          </w:p>
        </w:tc>
        <w:tc>
          <w:tcPr>
            <w:tcW w:type="dxa" w:w="235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约 73%</w:t>
            </w:r>
          </w:p>
        </w:tc>
        <w:tc>
          <w:tcPr>
            <w:tcW w:type="dxa" w:w="235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仅原油与天然气开采（狭义）</w:t>
            </w:r>
          </w:p>
        </w:tc>
        <w:tc>
          <w:tcPr>
            <w:tcW w:type="dxa" w:w="235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GASTAT / MEP 2025 年第三季度报告</w:t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rFonts w:ascii="Times New Roman" w:hAnsi="Times New Roman" w:eastAsia="宋体"/>
          <w:b w:val="0"/>
          <w:color w:val="4B5563"/>
          <w:sz w:val="18"/>
        </w:rPr>
        <w:t>注：MEP 季度报告显示，2025 年第三季度石油活动（狭义，含原油与天然气开采）占名义 GDP 的 27.3%，非油活动占 55.1%（达 6,742 亿里亚尔）——两者相加不足 100%，差额为产品税等统计项，属正常口径现象。愿景启动文件的目标表述为：非油 GDP 占比从 2016 年的 44% 提升至 2030 年的 65%。分析者在引用任何"非油占比"时，均应先核对其实际/名义、狭义/广义与年度/季度三个维度。</w:t>
      </w:r>
    </w:p>
    <w:p>
      <w:pPr>
        <w:spacing w:before="280" w:after="120"/>
      </w:pPr>
      <w:r>
        <w:rPr>
          <w:rFonts w:ascii="Times New Roman" w:hAnsi="Times New Roman" w:eastAsia="黑体"/>
          <w:b/>
          <w:color w:val="0B3A5C"/>
          <w:sz w:val="28"/>
        </w:rPr>
        <w:t>二、总量轨迹：非油增长的十年序列</w:t>
      </w:r>
    </w:p>
    <w:p>
      <w:pPr>
        <w:spacing w:line="360" w:lineRule="auto"/>
        <w:ind w:firstLine="440"/>
        <w:jc w:val="both"/>
      </w:pPr>
      <w:r>
        <w:rPr>
          <w:rFonts w:ascii="Times New Roman" w:hAnsi="Times New Roman" w:eastAsia="宋体"/>
          <w:b w:val="0"/>
          <w:sz w:val="22"/>
        </w:rPr>
        <w:t>剥离口径问题后，非油实际增速是最少受定义干扰的观察指标。GASTAT 数据显示的十年序列呈现出清晰的三阶段结构：财政整固低谷期（2016–2017）、建设铺开期（2018–2019）、疫情后加速交付期（2021–2025）。</w:t>
      </w:r>
    </w:p>
    <w:p>
      <w:pPr>
        <w:spacing w:before="200" w:after="80"/>
      </w:pPr>
      <w:r>
        <w:rPr>
          <w:rFonts w:ascii="Times New Roman" w:hAnsi="Times New Roman" w:eastAsia="黑体"/>
          <w:b/>
          <w:color w:val="0E7C8A"/>
          <w:sz w:val="24"/>
        </w:rPr>
        <w:t>表 2：沙特非油实际 GDP 增速（2016–2025）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</w:tblGrid>
      <w:tr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年份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2016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2017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2018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2019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2020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2021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2022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2023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2024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2025</w:t>
            </w:r>
          </w:p>
        </w:tc>
      </w:tr>
      <w:tr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增速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0.2%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1.4%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2.2%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3.3%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-2.5%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5.1%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5.4%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4.6%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4.5%</w:t>
            </w:r>
          </w:p>
        </w:tc>
        <w:tc>
          <w:tcPr>
            <w:tcW w:type="dxa" w:w="855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4.9%</w:t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rFonts w:ascii="Times New Roman" w:hAnsi="Times New Roman" w:eastAsia="宋体"/>
          <w:b w:val="0"/>
          <w:color w:val="4B5563"/>
          <w:sz w:val="18"/>
        </w:rPr>
        <w:t>注：2020 年为疫情收缩；2024 年起为基数修订后口径；2025 年为 2030 愿景 2025 年度报告数值。2017–2024 年均值约 4.2%。</w:t>
      </w:r>
    </w:p>
    <w:p>
      <w:pPr>
        <w:spacing w:line="360" w:lineRule="auto"/>
        <w:ind w:firstLine="440"/>
        <w:jc w:val="both"/>
      </w:pPr>
      <w:r>
        <w:rPr>
          <w:rFonts w:ascii="Times New Roman" w:hAnsi="Times New Roman" w:eastAsia="宋体"/>
          <w:b w:val="0"/>
          <w:sz w:val="22"/>
        </w:rPr>
        <w:t>总量层面，2025 年沙特实际 GDP 达 4.9 万亿里亚尔（约 1.31 万亿美元），较 2016 年的约 3.73 万亿里亚尔增长约三成；全年总体增长 4.5%，为三年最高。但两个细节值得记录：其一，据路透社对年度报告数据的报道，2025 年非油实际 GDP 约 8,920 亿美元，略低于 9,040 亿美元的年度目标——即"达标叙事"的边缘存在真实缺口；其二，油与非油的周期错位已成为沙特宏观的常态：2023 年石油 GDP 因 OPEC+ 减产收缩约 9%，非油却增长 4.6%，两者相差近 14 个百分点；2025 年关系反转，石油增长 5.7%，非油增长 4.9%。这意味着总体 GDP 读数已不再是判断沙特内需的可靠指标——市场与研究者现在首先看非油读数，这正是"非油占比"成为核心观察指标的根本原因。</w:t>
      </w:r>
    </w:p>
    <w:p>
      <w:pPr>
        <w:spacing w:before="280" w:after="120"/>
      </w:pPr>
      <w:r>
        <w:rPr>
          <w:rFonts w:ascii="Times New Roman" w:hAnsi="Times New Roman" w:eastAsia="黑体"/>
          <w:b/>
          <w:color w:val="0B3A5C"/>
          <w:sz w:val="28"/>
        </w:rPr>
        <w:t>三、KPI 成绩单：三个梯队</w:t>
      </w:r>
    </w:p>
    <w:p>
      <w:pPr>
        <w:spacing w:line="360" w:lineRule="auto"/>
        <w:ind w:firstLine="440"/>
        <w:jc w:val="both"/>
      </w:pPr>
      <w:r>
        <w:rPr>
          <w:rFonts w:ascii="Times New Roman" w:hAnsi="Times New Roman" w:eastAsia="宋体"/>
          <w:b w:val="0"/>
          <w:sz w:val="22"/>
        </w:rPr>
        <w:t>2030 愿景 2025 年度报告（2026 年初发布）宣称：93% 的关键绩效指标达到或超过年度目标，1,290 项行动中 935 项已完成、225 项按计划推进。但"年度目标"不等于"2030 年终极目标"。将主要 KPI 按对终极目标的距离分为三个梯队，图景更为真实。</w:t>
      </w:r>
    </w:p>
    <w:p>
      <w:pPr>
        <w:spacing w:before="200" w:after="80"/>
      </w:pPr>
      <w:r>
        <w:rPr>
          <w:rFonts w:ascii="Times New Roman" w:hAnsi="Times New Roman" w:eastAsia="黑体"/>
          <w:b/>
          <w:color w:val="0E7C8A"/>
          <w:sz w:val="24"/>
        </w:rPr>
        <w:t>表 3：主要 KPI 五年成绩单（基线 → 2025 → 2030 目标）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指标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基线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2025 年实际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2030 目标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梯队</w:t>
            </w:r>
          </w:p>
        </w:tc>
      </w:tr>
      <w:tr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沙特国民失业率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12.3%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7.2%（曾触及 7%）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7%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提前达标</w:t>
            </w:r>
          </w:p>
        </w:tc>
      </w:tr>
      <w:tr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女性劳动参与率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22.8%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35%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30%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超额达标</w:t>
            </w:r>
          </w:p>
        </w:tc>
      </w:tr>
      <w:tr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年游客总量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6,300 万人次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1.23 亿人次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1 亿（上调至 1.5 亿）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提前达标</w:t>
            </w:r>
          </w:p>
        </w:tc>
      </w:tr>
      <w:tr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跨国公司区域总部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44 家（2021）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700+ 家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500 家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超额达标</w:t>
            </w:r>
          </w:p>
        </w:tc>
      </w:tr>
      <w:tr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住房自有率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47%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66.24%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70%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接近</w:t>
            </w:r>
          </w:p>
        </w:tc>
      </w:tr>
      <w:tr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非油活动占 GDP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约 44%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55%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65%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过半路程</w:t>
            </w:r>
          </w:p>
        </w:tc>
      </w:tr>
      <w:tr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中小企业 GDP 贡献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—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22.9%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35%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有缺口</w:t>
            </w:r>
          </w:p>
        </w:tc>
      </w:tr>
      <w:tr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私营部门占 GDP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44%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51%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65%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明显缺口</w:t>
            </w:r>
          </w:p>
        </w:tc>
      </w:tr>
      <w:tr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FDI 流入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280 亿里亚尔（2017）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1,330 亿里亚尔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占 GDP 5.7%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明显缺口（现 2.8%）</w:t>
            </w:r>
          </w:p>
        </w:tc>
      </w:tr>
      <w:tr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PIF 资产管理规模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7,200 亿里亚尔（2015）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约 3.41 万亿里亚尔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年度目标 1.09 万亿美元</w:t>
            </w:r>
          </w:p>
        </w:tc>
        <w:tc>
          <w:tcPr>
            <w:tcW w:type="dxa" w:w="1881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未达标线</w:t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rFonts w:ascii="Times New Roman" w:hAnsi="Times New Roman" w:eastAsia="宋体"/>
          <w:b w:val="0"/>
          <w:color w:val="4B5563"/>
          <w:sz w:val="18"/>
        </w:rPr>
        <w:t>注：游客含国内与国际游客（2025 年入境游客 2,930 万人次），旅游总支出约 3,000 亿里亚尔（811 亿美元）；PIF 现值约 9,060–9,100 亿美元，路透社报道其低于年度报告设定的 1.09 万亿美元目标；表中"梯队"为本报告基于终极目标的分级，非官方表述。</w:t>
      </w:r>
    </w:p>
    <w:p>
      <w:pPr>
        <w:spacing w:line="360" w:lineRule="auto"/>
        <w:ind w:firstLine="440"/>
        <w:jc w:val="both"/>
      </w:pPr>
      <w:r>
        <w:rPr>
          <w:rFonts w:ascii="Times New Roman" w:hAnsi="Times New Roman" w:eastAsia="宋体"/>
          <w:b w:val="0"/>
          <w:sz w:val="22"/>
        </w:rPr>
      </w:r>
      <w:r>
        <w:rPr>
          <w:rFonts w:ascii="Times New Roman" w:hAnsi="Times New Roman" w:eastAsia="宋体"/>
          <w:b/>
          <w:sz w:val="22"/>
        </w:rPr>
        <w:t>提前达标组</w:t>
      </w:r>
      <w:r>
        <w:rPr>
          <w:rFonts w:ascii="Times New Roman" w:hAnsi="Times New Roman" w:eastAsia="宋体"/>
          <w:b w:val="0"/>
          <w:sz w:val="22"/>
        </w:rPr>
        <w:t>集中于社会面与需求面：失业率与女性劳动参与率反映劳动力市场改革（女性如今持有全国 48% 的商业注册、占中高级管理岗位的 43.9%）；游客总量在 2025 年达到 1.23 亿人次，比原定 2030 年的 1 亿目标提前五年超越，官方随即将目标上调至 1.5 亿——目标本身的动态上调是观察愿景演进的重要信号。区域总部政策同样超额：700 余家跨国公司将区域总部设于沙特，远超 500 家的目标，且相比 2021 年的 44 家是数量级的跃升。</w:t>
      </w:r>
    </w:p>
    <w:p>
      <w:pPr>
        <w:spacing w:line="360" w:lineRule="auto"/>
        <w:ind w:firstLine="440"/>
        <w:jc w:val="both"/>
      </w:pPr>
      <w:r>
        <w:rPr>
          <w:rFonts w:ascii="Times New Roman" w:hAnsi="Times New Roman" w:eastAsia="宋体"/>
          <w:b w:val="0"/>
          <w:sz w:val="22"/>
        </w:rPr>
      </w:r>
      <w:r>
        <w:rPr>
          <w:rFonts w:ascii="Times New Roman" w:hAnsi="Times New Roman" w:eastAsia="宋体"/>
          <w:b/>
          <w:sz w:val="22"/>
        </w:rPr>
        <w:t>缺口组</w:t>
      </w:r>
      <w:r>
        <w:rPr>
          <w:rFonts w:ascii="Times New Roman" w:hAnsi="Times New Roman" w:eastAsia="宋体"/>
          <w:b w:val="0"/>
          <w:sz w:val="22"/>
        </w:rPr>
        <w:t>集中于供给侧结构指标。非油出口是其中最值得展开的一项，因为其五年序列恰恰展示了"缺口"与"进步"并存的状态。</w:t>
      </w:r>
    </w:p>
    <w:p>
      <w:pPr>
        <w:spacing w:before="200" w:after="80"/>
      </w:pPr>
      <w:r>
        <w:rPr>
          <w:rFonts w:ascii="Times New Roman" w:hAnsi="Times New Roman" w:eastAsia="黑体"/>
          <w:b/>
          <w:color w:val="0E7C8A"/>
          <w:sz w:val="24"/>
        </w:rPr>
        <w:t>表 4：非油出口五年序列（2021–2025）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年份</w:t>
            </w:r>
          </w:p>
        </w:tc>
        <w:tc>
          <w:tcPr>
            <w:tcW w:type="dxa" w:w="1568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2021</w:t>
            </w:r>
          </w:p>
        </w:tc>
        <w:tc>
          <w:tcPr>
            <w:tcW w:type="dxa" w:w="1568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2022</w:t>
            </w:r>
          </w:p>
        </w:tc>
        <w:tc>
          <w:tcPr>
            <w:tcW w:type="dxa" w:w="1568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2023</w:t>
            </w:r>
          </w:p>
        </w:tc>
        <w:tc>
          <w:tcPr>
            <w:tcW w:type="dxa" w:w="1568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2024</w:t>
            </w:r>
          </w:p>
        </w:tc>
        <w:tc>
          <w:tcPr>
            <w:tcW w:type="dxa" w:w="1568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2025</w:t>
            </w:r>
          </w:p>
        </w:tc>
      </w:tr>
      <w:tr>
        <w:tc>
          <w:tcPr>
            <w:tcW w:type="dxa" w:w="1568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非油出口（亿里亚尔）</w:t>
            </w:r>
          </w:p>
        </w:tc>
        <w:tc>
          <w:tcPr>
            <w:tcW w:type="dxa" w:w="1568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3,250</w:t>
            </w:r>
          </w:p>
        </w:tc>
        <w:tc>
          <w:tcPr>
            <w:tcW w:type="dxa" w:w="1568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4,680</w:t>
            </w:r>
          </w:p>
        </w:tc>
        <w:tc>
          <w:tcPr>
            <w:tcW w:type="dxa" w:w="1568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4,770</w:t>
            </w:r>
          </w:p>
        </w:tc>
        <w:tc>
          <w:tcPr>
            <w:tcW w:type="dxa" w:w="1568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5,430</w:t>
            </w:r>
          </w:p>
        </w:tc>
        <w:tc>
          <w:tcPr>
            <w:tcW w:type="dxa" w:w="1568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</w:rPr>
              <w:t>6,240（+15%）</w:t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rFonts w:ascii="Times New Roman" w:hAnsi="Times New Roman" w:eastAsia="宋体"/>
          <w:b w:val="0"/>
          <w:color w:val="4B5563"/>
          <w:sz w:val="18"/>
        </w:rPr>
        <w:t>注：2025 年为有记录以来最高值，占总出口比重从 39% 升至 44%，沙特为该年 G20 中出口增速最高的国家（沙特公报引述全球数据）；愿景目标为非油出口占非油 GDP 的 50%。</w:t>
      </w:r>
    </w:p>
    <w:p>
      <w:pPr>
        <w:spacing w:line="360" w:lineRule="auto"/>
        <w:ind w:firstLine="440"/>
        <w:jc w:val="both"/>
      </w:pPr>
      <w:r>
        <w:rPr>
          <w:rFonts w:ascii="Times New Roman" w:hAnsi="Times New Roman" w:eastAsia="宋体"/>
          <w:b w:val="0"/>
          <w:sz w:val="22"/>
        </w:rPr>
        <w:t>结构上的三个亮点来自 2025 年的分解数据：非石化商品出口达 780 亿里亚尔（占非油商品出口的比重从 2021 年的 25% 升至 35%）；转口贸易暴增 53% 至 1,390 亿里亚尔，首次突破千亿——其中机械与设备转口从 2021 年的 110 亿里亚尔增至 740 亿里亚尔，凸显沙特作为区域物流枢纽的定位正在兑现；服务出口达 2,600 亿里亚尔（+11%），其中旅行与运输占 77%。工业层面，工厂数量增至约 1.29 万家，国家工业发展与物流计划（NIDLP）覆盖的四大板块 2025 年贡献非油 GDP 约 1.045 万亿里亚尔，占非油 GDP 的 39%。</w:t>
      </w:r>
    </w:p>
    <w:p>
      <w:pPr>
        <w:spacing w:before="280" w:after="120"/>
      </w:pPr>
      <w:r>
        <w:rPr>
          <w:rFonts w:ascii="Times New Roman" w:hAnsi="Times New Roman" w:eastAsia="黑体"/>
          <w:b/>
          <w:color w:val="0B3A5C"/>
          <w:sz w:val="28"/>
        </w:rPr>
        <w:t>四、数据背后的三个观察</w:t>
      </w:r>
    </w:p>
    <w:p>
      <w:pPr>
        <w:spacing w:before="200" w:after="80"/>
      </w:pPr>
      <w:r>
        <w:rPr>
          <w:rFonts w:ascii="Times New Roman" w:hAnsi="Times New Roman" w:eastAsia="黑体"/>
          <w:b/>
          <w:color w:val="0E7C8A"/>
          <w:sz w:val="24"/>
        </w:rPr>
        <w:t>（一）统计口径本身成了转型叙事的一部分</w:t>
      </w:r>
    </w:p>
    <w:p>
      <w:pPr>
        <w:spacing w:line="360" w:lineRule="auto"/>
        <w:ind w:firstLine="440"/>
        <w:jc w:val="both"/>
      </w:pPr>
      <w:r>
        <w:rPr>
          <w:rFonts w:ascii="Times New Roman" w:hAnsi="Times New Roman" w:eastAsia="宋体"/>
          <w:b w:val="0"/>
          <w:sz w:val="22"/>
        </w:rPr>
        <w:t>5.7 个百分点的一次性上修，相当于过去数年非油占比真实升幅的一半左右。这并非指责——GASTAT 的修订程序经受了 IMF 的外部检验，覆盖 240 万个场所的实地工作在任何国家都属高标准的统计投资——而是提示：评价转型的成绩单时，应将"基数修订前后的可比序列"分开核算。同样，判断"55% 距离 65% 的目标还有多远"时，应意识到这 55% 中约 5.7 个百分点来自度量改善而非经济活动的实际增加。对区域国别数据工作者而言，沙特是一个教科书级的案例：</w:t>
      </w:r>
      <w:r>
        <w:rPr>
          <w:rFonts w:ascii="Times New Roman" w:hAnsi="Times New Roman" w:eastAsia="宋体"/>
          <w:b/>
          <w:sz w:val="22"/>
        </w:rPr>
        <w:t>统计能力的现代化与经济转型本身深度交织，任何单一时点的占比数字都必须还原其口径史才能使用。</w:t>
      </w:r>
      <w:r>
        <w:rPr>
          <w:rFonts w:ascii="Times New Roman" w:hAnsi="Times New Roman" w:eastAsia="宋体"/>
          <w:b w:val="0"/>
          <w:sz w:val="22"/>
        </w:rPr>
      </w:r>
    </w:p>
    <w:p>
      <w:pPr>
        <w:spacing w:before="200" w:after="80"/>
      </w:pPr>
      <w:r>
        <w:rPr>
          <w:rFonts w:ascii="Times New Roman" w:hAnsi="Times New Roman" w:eastAsia="黑体"/>
          <w:b/>
          <w:color w:val="0E7C8A"/>
          <w:sz w:val="24"/>
        </w:rPr>
        <w:t>（二）增长的成色：政府驱动与可贸易部门的赛跑</w:t>
      </w:r>
    </w:p>
    <w:p>
      <w:pPr>
        <w:spacing w:line="360" w:lineRule="auto"/>
        <w:ind w:firstLine="440"/>
        <w:jc w:val="both"/>
      </w:pPr>
      <w:r>
        <w:rPr>
          <w:rFonts w:ascii="Times New Roman" w:hAnsi="Times New Roman" w:eastAsia="宋体"/>
          <w:b w:val="0"/>
          <w:sz w:val="22"/>
        </w:rPr>
        <w:t>非油增长连续五年高于 4.5%，但增长来源的结构决定了其可持续性。一方面，建筑（受 NEOM、Diriyah、Qiddiya 等超万亿美元级巨型项目管道拉动）、批发零售与餐旅（受旅游业爆发拉动）是最强的增长引擎，两者均与政府主导的支出周期高度相关；另一方面，制造业实际增速约 4%，低于将工业占 GDP 比重提升至 20%（NIDLP 目标）所需的步伐。真正体现"可贸易部门竞争力"的信号是转口贸易（+53%）与非石化出口（占比 25%→35%）——前者证明区位与物流投资正在产生出口竞争力，后者证明工业升级在缓慢但真实地发生。判断收官阶段成败的关键，将是非油增长能否从"政府支出的乘数"切换为"可贸易部门的自主增长"。</w:t>
      </w:r>
    </w:p>
    <w:p>
      <w:pPr>
        <w:spacing w:before="200" w:after="80"/>
      </w:pPr>
      <w:r>
        <w:rPr>
          <w:rFonts w:ascii="Times New Roman" w:hAnsi="Times New Roman" w:eastAsia="黑体"/>
          <w:b/>
          <w:color w:val="0E7C8A"/>
          <w:sz w:val="24"/>
        </w:rPr>
        <w:t>（三）钱与人：缺口的本质是"结构性倒转"</w:t>
      </w:r>
    </w:p>
    <w:p>
      <w:pPr>
        <w:spacing w:line="360" w:lineRule="auto"/>
        <w:ind w:firstLine="440"/>
        <w:jc w:val="both"/>
      </w:pPr>
      <w:r>
        <w:rPr>
          <w:rFonts w:ascii="Times New Roman" w:hAnsi="Times New Roman" w:eastAsia="宋体"/>
          <w:b w:val="0"/>
          <w:sz w:val="22"/>
        </w:rPr>
        <w:t>FDI 流入从 2017 年的 75 亿美元增至 2025 年的 355 亿美元，五年间增长五倍——但占 GDP 的比重仍只有 2.8%，不仅远低于 5.7% 的终极目标，也低于年度报告 3.4% 的年度目标。私营部门占 GDP 比重（51% 对 65%）则是所有缺口中最难的一个：它不仅要求私营部门绝对增长，还要求国家驱动 activity 相对减速——这是对自 1970 年代以来沙特经济组织方式的结构性倒转，难度远超任何单一 KPI。PIF 资产规模低于目标线的含义类似：资本的动员速度（过去五年国内部署 7,500 亿里亚尔）已经很快，但"快"本身尚不足以同时满足资产规模、本地化率（现为 60%）与投资回报三重约束。</w:t>
      </w:r>
    </w:p>
    <w:p>
      <w:pPr>
        <w:spacing w:before="280" w:after="120"/>
      </w:pPr>
      <w:r>
        <w:rPr>
          <w:rFonts w:ascii="Times New Roman" w:hAnsi="Times New Roman" w:eastAsia="黑体"/>
          <w:b/>
          <w:color w:val="0B3A5C"/>
          <w:sz w:val="28"/>
        </w:rPr>
        <w:t>五、结论：收官阶段的真正考题</w:t>
      </w:r>
    </w:p>
    <w:p>
      <w:pPr>
        <w:spacing w:line="360" w:lineRule="auto"/>
        <w:ind w:firstLine="440"/>
        <w:jc w:val="both"/>
      </w:pPr>
      <w:r>
        <w:rPr>
          <w:rFonts w:ascii="Times New Roman" w:hAnsi="Times New Roman" w:eastAsia="宋体"/>
          <w:b w:val="0"/>
          <w:sz w:val="22"/>
        </w:rPr>
        <w:t>以数据而非口号衡量，2030 愿景的第二个五年（2021–2025）交出了一份"社会面超前、总量面稳健、结构面滞后"的成绩单。非油占比从约 44% 升至 55%（其中含 5.7 个百分点的口径上修），非油实际增速站稳 4%–5% 区间，旅游、就业与女性参与的进步是真实且超预期的；但私营部门占比、FDI 质量与非油财政收入的多元化，构成 2026–2030 收官阶段的真正考题。就观察框架而言，</w:t>
      </w:r>
      <w:r>
        <w:rPr>
          <w:rFonts w:ascii="Times New Roman" w:hAnsi="Times New Roman" w:eastAsia="宋体"/>
          <w:b/>
          <w:sz w:val="22"/>
        </w:rPr>
        <w:t>非油占比本身受油价（分母效应）与统计口径双重扰动，其重要性应让位于四个更硬的指标：非油实际增速的持续性、非油出口中可贸易部门的份额、私营部门占比、以及非油财政收入的绝对规模。</w:t>
      </w:r>
      <w:r>
        <w:rPr>
          <w:rFonts w:ascii="Times New Roman" w:hAnsi="Times New Roman" w:eastAsia="宋体"/>
          <w:b w:val="0"/>
          <w:sz w:val="22"/>
        </w:rPr>
        <w:t>本平台后续将按季度跟踪后两项。</w:t>
      </w:r>
    </w:p>
    <w:p>
      <w:pPr>
        <w:spacing w:line="360" w:lineRule="auto"/>
        <w:ind w:firstLine="440"/>
        <w:jc w:val="both"/>
      </w:pPr>
      <w:r>
        <w:rPr>
          <w:rFonts w:ascii="Times New Roman" w:hAnsi="Times New Roman" w:eastAsia="宋体"/>
          <w:b w:val="0"/>
          <w:sz w:val="22"/>
        </w:rPr>
        <w:t>对关注沙特市场的企业与研究者，本轮数据给出三条可跟踪的硬线索：其一，区域总部政策的超额兑现（700+ 家）意味着利雅得作为中东商务枢纽地位的制度性抬升，进入门槛与合规成本也在同步上升；其二，PIF 项目 60% 的本地化率要求是参与其供应链的基本约束；其三，可再生能源装机（2025 年末约 46–64 吉瓦，不同口径）及多个全球最低电价光伏/风电项目，是中资 EPC 与设备企业少数有公开数据可循的准入领域。</w:t>
      </w:r>
    </w:p>
    <w:p>
      <w:pPr>
        <w:spacing w:line="360" w:lineRule="auto"/>
        <w:ind w:firstLine="440"/>
        <w:jc w:val="both"/>
      </w:pPr>
      <w:r>
        <w:rPr>
          <w:rFonts w:ascii="Times New Roman" w:hAnsi="Times New Roman" w:eastAsia="宋体"/>
          <w:b w:val="0"/>
          <w:sz w:val="22"/>
        </w:rPr>
        <w:t>本研究的方法论结论与本平台孟加拉国研究一致：</w:t>
      </w:r>
      <w:r>
        <w:rPr>
          <w:rFonts w:ascii="Times New Roman" w:hAnsi="Times New Roman" w:eastAsia="宋体"/>
          <w:b/>
          <w:sz w:val="22"/>
        </w:rPr>
        <w:t>单一口径、单一时点的国别数据足以误导判断。</w:t>
      </w:r>
      <w:r>
        <w:rPr>
          <w:rFonts w:ascii="Times New Roman" w:hAnsi="Times New Roman" w:eastAsia="宋体"/>
          <w:b w:val="0"/>
          <w:sz w:val="22"/>
        </w:rPr>
        <w:t>沙特案例进一步表明，当一国的统计体系本身处于快速现代化进程中时，"口径史"必须成为数据库的字段之一。这正是 corpusdi 区域国别数据库以"占比—增速—成色—财政"四层结构组织沙特数据、并对每个占比字段标注口径来源的原因。</w:t>
      </w:r>
    </w:p>
    <w:p>
      <w:pPr>
        <w:spacing w:before="280" w:after="120"/>
      </w:pPr>
      <w:r>
        <w:rPr>
          <w:rFonts w:ascii="Times New Roman" w:hAnsi="Times New Roman" w:eastAsia="黑体"/>
          <w:b/>
          <w:color w:val="0B3A5C"/>
          <w:sz w:val="28"/>
        </w:rPr>
        <w:t>主要数据来源</w:t>
      </w:r>
    </w:p>
    <w:p>
      <w:pPr>
        <w:spacing w:line="312" w:lineRule="auto"/>
      </w:pPr>
      <w:r>
        <w:rPr>
          <w:rFonts w:ascii="Times New Roman" w:hAnsi="Times New Roman" w:eastAsia="宋体"/>
          <w:b w:val="0"/>
          <w:sz w:val="19"/>
        </w:rPr>
        <w:t>1. 沙特统计总局（GASTAT）GDP 全面修订公告（2025 年 5 月）：非油活动占 GDP 53.2%（上修 5.7 个百分点）、经济活动分类 85→134 类、实地调查覆盖 240 万场所。沙特通讯社（SPA）：https://www.spa.gov.sa/en/N2310251 （检索日期：2026-09-07）</w:t>
      </w:r>
    </w:p>
    <w:p>
      <w:pPr>
        <w:spacing w:line="312" w:lineRule="auto"/>
      </w:pPr>
      <w:r>
        <w:rPr>
          <w:rFonts w:ascii="Times New Roman" w:hAnsi="Times New Roman" w:eastAsia="宋体"/>
          <w:b w:val="0"/>
          <w:sz w:val="19"/>
        </w:rPr>
        <w:t>2. 2030 愿景 2025 年度报告（2026 年初发布）：非油占实际 GDP 55%、总体增长 4.5%、失业率 7.2%、女性劳动参与率 35%、游客 1.23 亿人次、住房自有率 66.24%、私营部门占比 51%、FDI 1,330 亿里亚尔、PIF 资产约 3.41 万亿里亚尔、93% KPI 达标等。官方入口：https://www.vision2030.gov.sa/en/annual-reports ；Argaam 摘要：https://www.argaam.com/en/article/articledetail/id/1899592 （检索日期：2026-09-07）</w:t>
      </w:r>
    </w:p>
    <w:p>
      <w:pPr>
        <w:spacing w:line="312" w:lineRule="auto"/>
      </w:pPr>
      <w:r>
        <w:rPr>
          <w:rFonts w:ascii="Times New Roman" w:hAnsi="Times New Roman" w:eastAsia="宋体"/>
          <w:b w:val="0"/>
          <w:sz w:val="19"/>
        </w:rPr>
        <w:t>3. 沙特经济与计划部（MEP）2025 年第三季度经济报告：非油活动占比 55.1%（6,742 亿里亚尔）、石油活动占比 27.3%、工业生产指数同比 +8.0%。https://mep.gov.sa/files/en/KnowledgeBase/EconomicReports/Documents/MEP_Quarterly_Report_Q3_2025_EN.pdf （检索日期：2026-09-07）</w:t>
      </w:r>
    </w:p>
    <w:p>
      <w:pPr>
        <w:spacing w:line="312" w:lineRule="auto"/>
      </w:pPr>
      <w:r>
        <w:rPr>
          <w:rFonts w:ascii="Times New Roman" w:hAnsi="Times New Roman" w:eastAsia="宋体"/>
          <w:b w:val="0"/>
          <w:sz w:val="19"/>
        </w:rPr>
        <w:t>4. 路透社对 2025 年度报告的报道（经 Al-Monitor 转引）：PIF 资产 9,100 亿美元低于 1.09 万亿美元目标、非油实际 GDP 8,920 亿美元低于 9,040 亿美元目标、FDI 占 GDP 2.8% 对 3.4% 目标。（检索日期：2026-09-07）</w:t>
      </w:r>
    </w:p>
    <w:p>
      <w:pPr>
        <w:spacing w:line="312" w:lineRule="auto"/>
      </w:pPr>
      <w:r>
        <w:rPr>
          <w:rFonts w:ascii="Times New Roman" w:hAnsi="Times New Roman" w:eastAsia="宋体"/>
          <w:b w:val="0"/>
          <w:sz w:val="19"/>
        </w:rPr>
        <w:t>5. 沙特公报（Saudi Gazette）：2025 年非油出口创纪录达 6,240 亿里亚尔（+15%）、占总出口 44%，及 2021–2025 年非油出口序列、非石化出口与转口结构数据。https://www.saudigazette.com.sa/article/630740 （检索日期：2026-09-07）</w:t>
      </w:r>
    </w:p>
    <w:p>
      <w:pPr>
        <w:spacing w:line="312" w:lineRule="auto"/>
      </w:pPr>
      <w:r>
        <w:rPr>
          <w:rFonts w:ascii="Times New Roman" w:hAnsi="Times New Roman" w:eastAsia="宋体"/>
          <w:b w:val="0"/>
          <w:sz w:val="19"/>
        </w:rPr>
        <w:t>6. Arabian Business：NIDLP 2025 年度报告要点——四大板块贡献非油 GDP 1.045 万亿里亚尔（占 39%）、工厂数量 12,946 家、可再生能源装机与最低电价项目。https://www.arabianbusiness.com/finance/economy/saudi-arabia-non-oil-economy （检索日期：2026-09-07）</w:t>
      </w:r>
    </w:p>
    <w:p>
      <w:pPr>
        <w:spacing w:line="312" w:lineRule="auto"/>
      </w:pPr>
      <w:r>
        <w:rPr>
          <w:rFonts w:ascii="Times New Roman" w:hAnsi="Times New Roman" w:eastAsia="宋体"/>
          <w:b w:val="0"/>
          <w:sz w:val="19"/>
        </w:rPr>
        <w:t>7. 沙特本地一手数据源（本平台沙特国别页收录）：GASTAT（stats.gov.sa / database.stats.gov.sa）、沙特央行 SAMA（sama.gov.sa）、2030 愿景门户（vision2030.gov.sa）。</w:t>
      </w:r>
    </w:p>
    <w:p>
      <w:r>
        <w:rPr>
          <w:rFonts w:ascii="Times New Roman" w:hAnsi="Times New Roman" w:eastAsia="宋体"/>
          <w:b w:val="0"/>
          <w:color w:val="4B5563"/>
          <w:sz w:val="18"/>
        </w:rPr>
        <w:t>© 2026 corpusdi 区域国别数据开放平台 · Diinsider 旗下。本文为基于公开数据的独立分析，引用请注明出处及各数据源原始口径。文中"五年复盘"指 2030 愿景后半程的 2021–2025 年；基数修订对历史序列的影响以 GASTAT 官方发布为准。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